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theme/themeOverride1.xml" ContentType="application/vnd.openxmlformats-officedocument.themeOverride+xml"/>
  <Override PartName="/word/charts/chart8.xml" ContentType="application/vnd.openxmlformats-officedocument.drawingml.chart+xml"/>
  <Override PartName="/word/charts/chart9.xml" ContentType="application/vnd.openxmlformats-officedocument.drawingml.chart+xml"/>
  <Override PartName="/word/theme/themeOverride2.xml" ContentType="application/vnd.openxmlformats-officedocument.themeOverride+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theme/themeOverride3.xml" ContentType="application/vnd.openxmlformats-officedocument.themeOverride+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drawings/drawing1.xml" ContentType="application/vnd.openxmlformats-officedocument.drawingml.chartshapes+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938474F" w14:textId="77777777" w:rsidR="00A67F07" w:rsidRPr="00EA175D" w:rsidRDefault="00A67F07" w:rsidP="00EA175D">
      <w:pPr>
        <w:spacing w:line="360" w:lineRule="auto"/>
        <w:jc w:val="both"/>
        <w:rPr>
          <w:b/>
          <w:lang w:val="en-US"/>
        </w:rPr>
      </w:pPr>
      <w:bookmarkStart w:id="0" w:name="_GoBack"/>
      <w:bookmarkEnd w:id="0"/>
    </w:p>
    <w:p w14:paraId="1F145793" w14:textId="77777777" w:rsidR="00A67F07" w:rsidRPr="00EA175D" w:rsidRDefault="00A67F07" w:rsidP="00EA175D">
      <w:pPr>
        <w:spacing w:line="360" w:lineRule="auto"/>
        <w:jc w:val="both"/>
        <w:rPr>
          <w:b/>
        </w:rPr>
      </w:pPr>
    </w:p>
    <w:p w14:paraId="6A706CE1" w14:textId="77777777" w:rsidR="00A67F07" w:rsidRPr="00EA175D" w:rsidRDefault="00A67F07" w:rsidP="00EA175D">
      <w:pPr>
        <w:spacing w:line="360" w:lineRule="auto"/>
        <w:ind w:firstLine="567"/>
        <w:jc w:val="both"/>
        <w:rPr>
          <w:b/>
        </w:rPr>
      </w:pPr>
    </w:p>
    <w:p w14:paraId="760DE2B4" w14:textId="77777777" w:rsidR="00A67F07" w:rsidRPr="00EA175D" w:rsidRDefault="00A67F07" w:rsidP="00EA175D">
      <w:pPr>
        <w:spacing w:line="360" w:lineRule="auto"/>
        <w:ind w:firstLine="567"/>
        <w:jc w:val="both"/>
        <w:rPr>
          <w:b/>
        </w:rPr>
      </w:pPr>
    </w:p>
    <w:p w14:paraId="0DBF13F9" w14:textId="77777777" w:rsidR="00A67F07" w:rsidRPr="00EA175D" w:rsidRDefault="00A67F07" w:rsidP="00EA175D">
      <w:pPr>
        <w:spacing w:line="360" w:lineRule="auto"/>
        <w:ind w:firstLine="567"/>
        <w:jc w:val="both"/>
        <w:rPr>
          <w:b/>
        </w:rPr>
      </w:pPr>
    </w:p>
    <w:p w14:paraId="766DDF3E" w14:textId="77777777" w:rsidR="00A67F07" w:rsidRPr="00EA175D" w:rsidRDefault="00A67F07" w:rsidP="00EA175D">
      <w:pPr>
        <w:spacing w:line="360" w:lineRule="auto"/>
        <w:ind w:firstLine="567"/>
        <w:jc w:val="both"/>
        <w:rPr>
          <w:b/>
        </w:rPr>
      </w:pPr>
    </w:p>
    <w:p w14:paraId="701A38AB" w14:textId="671B3193" w:rsidR="00A67F07" w:rsidRPr="00EA175D" w:rsidRDefault="00A67F07" w:rsidP="00EA175D">
      <w:pPr>
        <w:spacing w:line="360" w:lineRule="auto"/>
        <w:ind w:firstLine="567"/>
        <w:jc w:val="center"/>
        <w:rPr>
          <w:b/>
          <w:sz w:val="28"/>
          <w:szCs w:val="28"/>
        </w:rPr>
      </w:pPr>
      <w:r w:rsidRPr="00EA175D">
        <w:rPr>
          <w:b/>
          <w:sz w:val="28"/>
          <w:szCs w:val="28"/>
        </w:rPr>
        <w:t xml:space="preserve">ТЕКУЩА ОЦЕНКА НА ЛИДЕР И ПОДХОДА ВОМР ОТ ПРСР (2014-2020 г.) </w:t>
      </w:r>
    </w:p>
    <w:p w14:paraId="38FCEEBC" w14:textId="77777777" w:rsidR="00C26BF7" w:rsidRPr="00EA175D" w:rsidRDefault="00C26BF7" w:rsidP="00EA175D">
      <w:pPr>
        <w:spacing w:line="360" w:lineRule="auto"/>
        <w:ind w:firstLine="567"/>
        <w:jc w:val="center"/>
        <w:rPr>
          <w:sz w:val="28"/>
          <w:szCs w:val="28"/>
        </w:rPr>
      </w:pPr>
    </w:p>
    <w:p w14:paraId="5A5F6A74" w14:textId="77777777" w:rsidR="00A67F07" w:rsidRPr="00EA175D" w:rsidRDefault="00A67F07" w:rsidP="00EA175D">
      <w:pPr>
        <w:spacing w:line="360" w:lineRule="auto"/>
        <w:ind w:firstLine="567"/>
        <w:jc w:val="both"/>
      </w:pPr>
    </w:p>
    <w:p w14:paraId="1983BAE9" w14:textId="77777777" w:rsidR="00A67F07" w:rsidRPr="00EA175D" w:rsidRDefault="00A67F07" w:rsidP="00EA175D">
      <w:pPr>
        <w:spacing w:line="360" w:lineRule="auto"/>
        <w:ind w:firstLine="567"/>
        <w:jc w:val="both"/>
      </w:pPr>
    </w:p>
    <w:p w14:paraId="6DA63D28" w14:textId="77777777" w:rsidR="00A67F07" w:rsidRPr="00EA175D" w:rsidRDefault="00A67F07" w:rsidP="00EA175D">
      <w:pPr>
        <w:spacing w:line="360" w:lineRule="auto"/>
        <w:ind w:firstLine="567"/>
        <w:jc w:val="both"/>
      </w:pPr>
    </w:p>
    <w:p w14:paraId="1D85106F" w14:textId="77777777" w:rsidR="00A67F07" w:rsidRPr="00EA175D" w:rsidRDefault="00A67F07" w:rsidP="00EA175D">
      <w:pPr>
        <w:spacing w:line="360" w:lineRule="auto"/>
        <w:ind w:firstLine="567"/>
        <w:jc w:val="both"/>
      </w:pPr>
    </w:p>
    <w:p w14:paraId="14D43131" w14:textId="77777777" w:rsidR="00A67F07" w:rsidRPr="00EA175D" w:rsidRDefault="00A67F07" w:rsidP="00EA175D">
      <w:pPr>
        <w:spacing w:line="360" w:lineRule="auto"/>
        <w:ind w:firstLine="567"/>
        <w:jc w:val="both"/>
      </w:pPr>
    </w:p>
    <w:p w14:paraId="2B6FE77D" w14:textId="77777777" w:rsidR="00A67F07" w:rsidRPr="00EA175D" w:rsidRDefault="00A67F07" w:rsidP="00EA175D">
      <w:pPr>
        <w:spacing w:line="360" w:lineRule="auto"/>
        <w:ind w:firstLine="567"/>
        <w:jc w:val="both"/>
      </w:pPr>
    </w:p>
    <w:p w14:paraId="7F107335" w14:textId="77777777" w:rsidR="00A67F07" w:rsidRPr="00EA175D" w:rsidRDefault="00A67F07" w:rsidP="00EA175D">
      <w:pPr>
        <w:spacing w:line="360" w:lineRule="auto"/>
        <w:ind w:firstLine="567"/>
        <w:jc w:val="both"/>
      </w:pPr>
    </w:p>
    <w:p w14:paraId="3520BF6D" w14:textId="77777777" w:rsidR="00A67F07" w:rsidRPr="00EA175D" w:rsidRDefault="00A67F07" w:rsidP="00EA175D">
      <w:pPr>
        <w:spacing w:line="360" w:lineRule="auto"/>
        <w:ind w:firstLine="567"/>
        <w:jc w:val="both"/>
      </w:pPr>
    </w:p>
    <w:p w14:paraId="445C8626" w14:textId="77777777" w:rsidR="00A67F07" w:rsidRPr="00EA175D" w:rsidRDefault="00A67F07" w:rsidP="00EA175D">
      <w:pPr>
        <w:spacing w:line="360" w:lineRule="auto"/>
        <w:ind w:firstLine="567"/>
        <w:jc w:val="both"/>
      </w:pPr>
    </w:p>
    <w:p w14:paraId="2C933992" w14:textId="77777777" w:rsidR="00A67F07" w:rsidRPr="00EA175D" w:rsidRDefault="00A67F07" w:rsidP="00EA175D">
      <w:pPr>
        <w:spacing w:line="360" w:lineRule="auto"/>
        <w:ind w:firstLine="567"/>
        <w:jc w:val="both"/>
      </w:pPr>
    </w:p>
    <w:p w14:paraId="271460BF" w14:textId="77777777" w:rsidR="00A67F07" w:rsidRPr="00EA175D" w:rsidRDefault="00A67F07" w:rsidP="00EA175D">
      <w:pPr>
        <w:spacing w:line="360" w:lineRule="auto"/>
        <w:ind w:firstLine="567"/>
        <w:jc w:val="both"/>
      </w:pPr>
    </w:p>
    <w:p w14:paraId="53D03688" w14:textId="77777777" w:rsidR="00A67F07" w:rsidRPr="00EA175D" w:rsidRDefault="00A67F07" w:rsidP="00EA175D">
      <w:pPr>
        <w:spacing w:line="360" w:lineRule="auto"/>
        <w:ind w:firstLine="567"/>
        <w:jc w:val="both"/>
      </w:pPr>
    </w:p>
    <w:p w14:paraId="75C8F39E" w14:textId="77777777" w:rsidR="00A67F07" w:rsidRPr="00EA175D" w:rsidRDefault="00A67F07" w:rsidP="00EA175D">
      <w:pPr>
        <w:spacing w:line="360" w:lineRule="auto"/>
        <w:ind w:firstLine="567"/>
        <w:jc w:val="both"/>
      </w:pPr>
    </w:p>
    <w:p w14:paraId="3936EA09" w14:textId="77777777" w:rsidR="00A67F07" w:rsidRPr="00EA175D" w:rsidRDefault="00A67F07" w:rsidP="00EA175D">
      <w:pPr>
        <w:spacing w:line="360" w:lineRule="auto"/>
        <w:ind w:firstLine="567"/>
        <w:jc w:val="both"/>
      </w:pPr>
    </w:p>
    <w:p w14:paraId="0ABD3C01" w14:textId="77777777" w:rsidR="00A67F07" w:rsidRPr="00EA175D" w:rsidRDefault="00A67F07" w:rsidP="00EA175D">
      <w:pPr>
        <w:spacing w:line="360" w:lineRule="auto"/>
        <w:ind w:firstLine="567"/>
        <w:jc w:val="both"/>
      </w:pPr>
    </w:p>
    <w:p w14:paraId="18B3B8F3" w14:textId="77777777" w:rsidR="00A67F07" w:rsidRPr="00EA175D" w:rsidRDefault="00A67F07" w:rsidP="00EA175D">
      <w:pPr>
        <w:spacing w:line="360" w:lineRule="auto"/>
        <w:ind w:firstLine="567"/>
        <w:jc w:val="both"/>
      </w:pPr>
    </w:p>
    <w:p w14:paraId="41CAF9CD" w14:textId="77777777" w:rsidR="00A67F07" w:rsidRPr="00EA175D" w:rsidRDefault="00A67F07" w:rsidP="00EA175D">
      <w:pPr>
        <w:spacing w:line="360" w:lineRule="auto"/>
        <w:ind w:firstLine="567"/>
        <w:jc w:val="both"/>
      </w:pPr>
    </w:p>
    <w:p w14:paraId="22DDF7CE" w14:textId="77777777" w:rsidR="00A67F07" w:rsidRPr="00EA175D" w:rsidRDefault="00A67F07" w:rsidP="00EA175D">
      <w:pPr>
        <w:spacing w:line="360" w:lineRule="auto"/>
        <w:ind w:firstLine="567"/>
        <w:jc w:val="both"/>
      </w:pPr>
    </w:p>
    <w:p w14:paraId="38785481" w14:textId="77777777" w:rsidR="00A67F07" w:rsidRPr="00EA175D" w:rsidRDefault="00A67F07" w:rsidP="00EA175D">
      <w:pPr>
        <w:spacing w:line="360" w:lineRule="auto"/>
        <w:ind w:firstLine="567"/>
        <w:jc w:val="both"/>
      </w:pPr>
    </w:p>
    <w:sdt>
      <w:sdtPr>
        <w:rPr>
          <w:rFonts w:ascii="Times New Roman" w:eastAsia="Calibri" w:hAnsi="Times New Roman" w:cs="Times New Roman"/>
          <w:b w:val="0"/>
          <w:bCs w:val="0"/>
          <w:noProof/>
          <w:color w:val="auto"/>
          <w:sz w:val="24"/>
          <w:szCs w:val="24"/>
          <w:lang w:val="bg-BG" w:eastAsia="bg-BG"/>
        </w:rPr>
        <w:id w:val="339364229"/>
        <w:docPartObj>
          <w:docPartGallery w:val="Table of Contents"/>
          <w:docPartUnique/>
        </w:docPartObj>
      </w:sdtPr>
      <w:sdtEndPr/>
      <w:sdtContent>
        <w:p w14:paraId="35218B44" w14:textId="2DDC75A2" w:rsidR="00C63281" w:rsidRPr="00EA175D" w:rsidRDefault="00C63281" w:rsidP="00E356BB">
          <w:pPr>
            <w:pStyle w:val="a7"/>
            <w:spacing w:line="360" w:lineRule="auto"/>
            <w:jc w:val="both"/>
            <w:rPr>
              <w:rFonts w:ascii="Times New Roman" w:hAnsi="Times New Roman" w:cs="Times New Roman"/>
              <w:color w:val="auto"/>
              <w:sz w:val="24"/>
              <w:szCs w:val="24"/>
              <w:lang w:val="bg-BG"/>
            </w:rPr>
          </w:pPr>
          <w:r w:rsidRPr="00EA175D">
            <w:rPr>
              <w:rFonts w:ascii="Times New Roman" w:hAnsi="Times New Roman" w:cs="Times New Roman"/>
              <w:color w:val="auto"/>
              <w:sz w:val="24"/>
              <w:szCs w:val="24"/>
              <w:lang w:val="bg-BG"/>
            </w:rPr>
            <w:t>Съдържание</w:t>
          </w:r>
          <w:r w:rsidR="0087203F" w:rsidRPr="00EA175D">
            <w:rPr>
              <w:rFonts w:ascii="Times New Roman" w:hAnsi="Times New Roman" w:cs="Times New Roman"/>
              <w:color w:val="auto"/>
              <w:sz w:val="24"/>
              <w:szCs w:val="24"/>
              <w:lang w:val="bg-BG"/>
            </w:rPr>
            <w:t>:</w:t>
          </w:r>
        </w:p>
        <w:p w14:paraId="4D16811C" w14:textId="678481AC" w:rsidR="00D45FA9" w:rsidRDefault="00C63281">
          <w:pPr>
            <w:pStyle w:val="11"/>
            <w:tabs>
              <w:tab w:val="right" w:leader="dot" w:pos="9203"/>
            </w:tabs>
            <w:rPr>
              <w:rFonts w:asciiTheme="minorHAnsi" w:eastAsiaTheme="minorEastAsia" w:hAnsiTheme="minorHAnsi" w:cstheme="minorBidi"/>
              <w:sz w:val="22"/>
              <w:szCs w:val="22"/>
            </w:rPr>
          </w:pPr>
          <w:r w:rsidRPr="00EA175D">
            <w:fldChar w:fldCharType="begin"/>
          </w:r>
          <w:r w:rsidRPr="00EA175D">
            <w:instrText xml:space="preserve"> TOC \o "1-3" \h \z \u </w:instrText>
          </w:r>
          <w:r w:rsidRPr="00EA175D">
            <w:fldChar w:fldCharType="separate"/>
          </w:r>
          <w:hyperlink w:anchor="_Toc93489765" w:history="1">
            <w:r w:rsidR="00D45FA9" w:rsidRPr="004E7D24">
              <w:rPr>
                <w:rStyle w:val="ad"/>
              </w:rPr>
              <w:t>Таблица със съкращенията</w:t>
            </w:r>
            <w:r w:rsidR="00D45FA9">
              <w:rPr>
                <w:webHidden/>
              </w:rPr>
              <w:tab/>
            </w:r>
            <w:r w:rsidR="00D45FA9">
              <w:rPr>
                <w:webHidden/>
              </w:rPr>
              <w:fldChar w:fldCharType="begin"/>
            </w:r>
            <w:r w:rsidR="00D45FA9">
              <w:rPr>
                <w:webHidden/>
              </w:rPr>
              <w:instrText xml:space="preserve"> PAGEREF _Toc93489765 \h </w:instrText>
            </w:r>
            <w:r w:rsidR="00D45FA9">
              <w:rPr>
                <w:webHidden/>
              </w:rPr>
            </w:r>
            <w:r w:rsidR="00D45FA9">
              <w:rPr>
                <w:webHidden/>
              </w:rPr>
              <w:fldChar w:fldCharType="separate"/>
            </w:r>
            <w:r w:rsidR="00D45FA9">
              <w:rPr>
                <w:webHidden/>
              </w:rPr>
              <w:t>4</w:t>
            </w:r>
            <w:r w:rsidR="00D45FA9">
              <w:rPr>
                <w:webHidden/>
              </w:rPr>
              <w:fldChar w:fldCharType="end"/>
            </w:r>
          </w:hyperlink>
        </w:p>
        <w:p w14:paraId="7363DAB2" w14:textId="2779360F" w:rsidR="00D45FA9" w:rsidRDefault="00F23BAF">
          <w:pPr>
            <w:pStyle w:val="11"/>
            <w:tabs>
              <w:tab w:val="left" w:pos="440"/>
              <w:tab w:val="right" w:leader="dot" w:pos="9203"/>
            </w:tabs>
            <w:rPr>
              <w:rFonts w:asciiTheme="minorHAnsi" w:eastAsiaTheme="minorEastAsia" w:hAnsiTheme="minorHAnsi" w:cstheme="minorBidi"/>
              <w:sz w:val="22"/>
              <w:szCs w:val="22"/>
            </w:rPr>
          </w:pPr>
          <w:hyperlink w:anchor="_Toc93489766" w:history="1">
            <w:r w:rsidR="00D45FA9" w:rsidRPr="004E7D24">
              <w:rPr>
                <w:rStyle w:val="ad"/>
              </w:rPr>
              <w:t>1.</w:t>
            </w:r>
            <w:r w:rsidR="00D45FA9">
              <w:rPr>
                <w:rFonts w:asciiTheme="minorHAnsi" w:eastAsiaTheme="minorEastAsia" w:hAnsiTheme="minorHAnsi" w:cstheme="minorBidi"/>
                <w:sz w:val="22"/>
                <w:szCs w:val="22"/>
              </w:rPr>
              <w:tab/>
            </w:r>
            <w:r w:rsidR="00D45FA9" w:rsidRPr="004E7D24">
              <w:rPr>
                <w:rStyle w:val="ad"/>
              </w:rPr>
              <w:t>Обща информация</w:t>
            </w:r>
            <w:r w:rsidR="00D45FA9">
              <w:rPr>
                <w:webHidden/>
              </w:rPr>
              <w:tab/>
            </w:r>
            <w:r w:rsidR="00D45FA9">
              <w:rPr>
                <w:webHidden/>
              </w:rPr>
              <w:fldChar w:fldCharType="begin"/>
            </w:r>
            <w:r w:rsidR="00D45FA9">
              <w:rPr>
                <w:webHidden/>
              </w:rPr>
              <w:instrText xml:space="preserve"> PAGEREF _Toc93489766 \h </w:instrText>
            </w:r>
            <w:r w:rsidR="00D45FA9">
              <w:rPr>
                <w:webHidden/>
              </w:rPr>
            </w:r>
            <w:r w:rsidR="00D45FA9">
              <w:rPr>
                <w:webHidden/>
              </w:rPr>
              <w:fldChar w:fldCharType="separate"/>
            </w:r>
            <w:r w:rsidR="00D45FA9">
              <w:rPr>
                <w:webHidden/>
              </w:rPr>
              <w:t>5</w:t>
            </w:r>
            <w:r w:rsidR="00D45FA9">
              <w:rPr>
                <w:webHidden/>
              </w:rPr>
              <w:fldChar w:fldCharType="end"/>
            </w:r>
          </w:hyperlink>
        </w:p>
        <w:p w14:paraId="58C9E276" w14:textId="2A20ADC8" w:rsidR="00D45FA9" w:rsidRDefault="00F23BAF">
          <w:pPr>
            <w:pStyle w:val="11"/>
            <w:tabs>
              <w:tab w:val="left" w:pos="440"/>
              <w:tab w:val="right" w:leader="dot" w:pos="9203"/>
            </w:tabs>
            <w:rPr>
              <w:rFonts w:asciiTheme="minorHAnsi" w:eastAsiaTheme="minorEastAsia" w:hAnsiTheme="minorHAnsi" w:cstheme="minorBidi"/>
              <w:sz w:val="22"/>
              <w:szCs w:val="22"/>
            </w:rPr>
          </w:pPr>
          <w:hyperlink w:anchor="_Toc93489767" w:history="1">
            <w:r w:rsidR="00D45FA9" w:rsidRPr="004E7D24">
              <w:rPr>
                <w:rStyle w:val="ad"/>
              </w:rPr>
              <w:t>2.</w:t>
            </w:r>
            <w:r w:rsidR="00D45FA9">
              <w:rPr>
                <w:rFonts w:asciiTheme="minorHAnsi" w:eastAsiaTheme="minorEastAsia" w:hAnsiTheme="minorHAnsi" w:cstheme="minorBidi"/>
                <w:sz w:val="22"/>
                <w:szCs w:val="22"/>
              </w:rPr>
              <w:tab/>
            </w:r>
            <w:r w:rsidR="00D45FA9" w:rsidRPr="004E7D24">
              <w:rPr>
                <w:rStyle w:val="ad"/>
              </w:rPr>
              <w:t>Извършване на оценката</w:t>
            </w:r>
            <w:r w:rsidR="00D45FA9">
              <w:rPr>
                <w:webHidden/>
              </w:rPr>
              <w:tab/>
            </w:r>
            <w:r w:rsidR="005F3B27">
              <w:rPr>
                <w:webHidden/>
                <w:lang w:val="en-US"/>
              </w:rPr>
              <w:t>9</w:t>
            </w:r>
          </w:hyperlink>
        </w:p>
        <w:p w14:paraId="5401B630" w14:textId="4F6F3603" w:rsidR="00D45FA9" w:rsidRDefault="00F23BAF">
          <w:pPr>
            <w:pStyle w:val="11"/>
            <w:tabs>
              <w:tab w:val="left" w:pos="660"/>
              <w:tab w:val="right" w:leader="dot" w:pos="9203"/>
            </w:tabs>
            <w:rPr>
              <w:rFonts w:asciiTheme="minorHAnsi" w:eastAsiaTheme="minorEastAsia" w:hAnsiTheme="minorHAnsi" w:cstheme="minorBidi"/>
              <w:sz w:val="22"/>
              <w:szCs w:val="22"/>
            </w:rPr>
          </w:pPr>
          <w:hyperlink w:anchor="_Toc93489768" w:history="1">
            <w:r w:rsidR="00D45FA9" w:rsidRPr="004E7D24">
              <w:rPr>
                <w:rStyle w:val="ad"/>
              </w:rPr>
              <w:t>2.1.</w:t>
            </w:r>
            <w:r w:rsidR="00D45FA9">
              <w:rPr>
                <w:rFonts w:asciiTheme="minorHAnsi" w:eastAsiaTheme="minorEastAsia" w:hAnsiTheme="minorHAnsi" w:cstheme="minorBidi"/>
                <w:sz w:val="22"/>
                <w:szCs w:val="22"/>
              </w:rPr>
              <w:tab/>
            </w:r>
            <w:r w:rsidR="00D45FA9" w:rsidRPr="004E7D24">
              <w:rPr>
                <w:rStyle w:val="ad"/>
              </w:rPr>
              <w:t>Мобилизиране на екипа на Изпълнителя</w:t>
            </w:r>
            <w:r w:rsidR="00D45FA9">
              <w:rPr>
                <w:webHidden/>
              </w:rPr>
              <w:tab/>
            </w:r>
            <w:r w:rsidR="005F3B27">
              <w:rPr>
                <w:webHidden/>
                <w:lang w:val="en-US"/>
              </w:rPr>
              <w:t>9</w:t>
            </w:r>
          </w:hyperlink>
        </w:p>
        <w:p w14:paraId="60B729CD" w14:textId="7A3B3E94" w:rsidR="00D45FA9" w:rsidRPr="007D7A6E" w:rsidRDefault="007D7A6E">
          <w:pPr>
            <w:pStyle w:val="11"/>
            <w:tabs>
              <w:tab w:val="left" w:pos="660"/>
              <w:tab w:val="right" w:leader="dot" w:pos="9203"/>
            </w:tabs>
            <w:rPr>
              <w:rStyle w:val="ad"/>
              <w:rFonts w:asciiTheme="minorHAnsi" w:eastAsiaTheme="minorEastAsia" w:hAnsiTheme="minorHAnsi" w:cstheme="minorBidi"/>
              <w:sz w:val="22"/>
              <w:szCs w:val="22"/>
            </w:rPr>
          </w:pPr>
          <w:r>
            <w:fldChar w:fldCharType="begin"/>
          </w:r>
          <w:r>
            <w:instrText xml:space="preserve"> HYPERLINK  \l "_Организиране_на_работата" </w:instrText>
          </w:r>
          <w:r>
            <w:fldChar w:fldCharType="separate"/>
          </w:r>
          <w:r w:rsidR="00D45FA9" w:rsidRPr="007D7A6E">
            <w:rPr>
              <w:rStyle w:val="ad"/>
            </w:rPr>
            <w:t>2.2.</w:t>
          </w:r>
          <w:r w:rsidR="00D45FA9" w:rsidRPr="007D7A6E">
            <w:rPr>
              <w:rStyle w:val="ad"/>
              <w:rFonts w:asciiTheme="minorHAnsi" w:eastAsiaTheme="minorEastAsia" w:hAnsiTheme="minorHAnsi" w:cstheme="minorBidi"/>
              <w:sz w:val="22"/>
              <w:szCs w:val="22"/>
            </w:rPr>
            <w:tab/>
          </w:r>
          <w:r w:rsidR="00D45FA9" w:rsidRPr="007D7A6E">
            <w:rPr>
              <w:rStyle w:val="ad"/>
            </w:rPr>
            <w:t>Организиране на работата</w:t>
          </w:r>
          <w:r w:rsidR="00D45FA9" w:rsidRPr="007D7A6E">
            <w:rPr>
              <w:rStyle w:val="ad"/>
              <w:webHidden/>
            </w:rPr>
            <w:tab/>
          </w:r>
          <w:r w:rsidR="00D45FA9" w:rsidRPr="007D7A6E">
            <w:rPr>
              <w:rStyle w:val="ad"/>
              <w:webHidden/>
            </w:rPr>
            <w:fldChar w:fldCharType="begin"/>
          </w:r>
          <w:r w:rsidR="00D45FA9" w:rsidRPr="007D7A6E">
            <w:rPr>
              <w:rStyle w:val="ad"/>
              <w:webHidden/>
            </w:rPr>
            <w:instrText xml:space="preserve"> PAGEREF _Toc93489769 \h </w:instrText>
          </w:r>
          <w:r w:rsidR="00D45FA9" w:rsidRPr="007D7A6E">
            <w:rPr>
              <w:rStyle w:val="ad"/>
              <w:webHidden/>
            </w:rPr>
          </w:r>
          <w:r w:rsidR="00D45FA9" w:rsidRPr="007D7A6E">
            <w:rPr>
              <w:rStyle w:val="ad"/>
              <w:webHidden/>
            </w:rPr>
            <w:fldChar w:fldCharType="separate"/>
          </w:r>
          <w:r w:rsidR="00D45FA9" w:rsidRPr="007D7A6E">
            <w:rPr>
              <w:rStyle w:val="ad"/>
              <w:webHidden/>
            </w:rPr>
            <w:t>1</w:t>
          </w:r>
          <w:r>
            <w:rPr>
              <w:rStyle w:val="ad"/>
              <w:webHidden/>
            </w:rPr>
            <w:t>2</w:t>
          </w:r>
          <w:r w:rsidR="00D45FA9" w:rsidRPr="007D7A6E">
            <w:rPr>
              <w:rStyle w:val="ad"/>
              <w:webHidden/>
            </w:rPr>
            <w:fldChar w:fldCharType="end"/>
          </w:r>
        </w:p>
        <w:p w14:paraId="52B40142" w14:textId="2FB14EB6" w:rsidR="00D45FA9" w:rsidRDefault="007D7A6E" w:rsidP="00D45FA9">
          <w:pPr>
            <w:pStyle w:val="11"/>
            <w:tabs>
              <w:tab w:val="left" w:pos="660"/>
              <w:tab w:val="right" w:leader="dot" w:pos="9203"/>
            </w:tabs>
            <w:rPr>
              <w:rFonts w:asciiTheme="minorHAnsi" w:eastAsiaTheme="minorEastAsia" w:hAnsiTheme="minorHAnsi" w:cstheme="minorBidi"/>
              <w:sz w:val="22"/>
              <w:szCs w:val="22"/>
            </w:rPr>
          </w:pPr>
          <w:r>
            <w:fldChar w:fldCharType="end"/>
          </w:r>
          <w:hyperlink w:anchor="_Toc93489770" w:history="1">
            <w:r w:rsidR="00D45FA9" w:rsidRPr="004E7D24">
              <w:rPr>
                <w:rStyle w:val="ad"/>
              </w:rPr>
              <w:t>2.3.</w:t>
            </w:r>
            <w:r w:rsidR="00D45FA9">
              <w:rPr>
                <w:rFonts w:asciiTheme="minorHAnsi" w:eastAsiaTheme="minorEastAsia" w:hAnsiTheme="minorHAnsi" w:cstheme="minorBidi"/>
                <w:sz w:val="22"/>
                <w:szCs w:val="22"/>
              </w:rPr>
              <w:tab/>
            </w:r>
            <w:r w:rsidR="00D45FA9" w:rsidRPr="004E7D24">
              <w:rPr>
                <w:rStyle w:val="ad"/>
              </w:rPr>
              <w:t>Трудности и предизвикателства</w:t>
            </w:r>
            <w:r w:rsidR="00D45FA9">
              <w:rPr>
                <w:webHidden/>
              </w:rPr>
              <w:tab/>
            </w:r>
            <w:r w:rsidR="008F4651">
              <w:rPr>
                <w:webHidden/>
              </w:rPr>
              <w:t>15</w:t>
            </w:r>
          </w:hyperlink>
        </w:p>
        <w:p w14:paraId="5EA133B1" w14:textId="7D356D0A" w:rsidR="00D45FA9" w:rsidRDefault="00F23BAF">
          <w:pPr>
            <w:pStyle w:val="11"/>
            <w:tabs>
              <w:tab w:val="left" w:pos="440"/>
              <w:tab w:val="right" w:leader="dot" w:pos="9203"/>
            </w:tabs>
            <w:rPr>
              <w:rFonts w:asciiTheme="minorHAnsi" w:eastAsiaTheme="minorEastAsia" w:hAnsiTheme="minorHAnsi" w:cstheme="minorBidi"/>
              <w:sz w:val="22"/>
              <w:szCs w:val="22"/>
            </w:rPr>
          </w:pPr>
          <w:hyperlink w:anchor="_Toc93489776" w:history="1">
            <w:r w:rsidR="00D45FA9" w:rsidRPr="004E7D24">
              <w:rPr>
                <w:rStyle w:val="ad"/>
              </w:rPr>
              <w:t>3.</w:t>
            </w:r>
            <w:r w:rsidR="00D45FA9">
              <w:rPr>
                <w:rFonts w:asciiTheme="minorHAnsi" w:eastAsiaTheme="minorEastAsia" w:hAnsiTheme="minorHAnsi" w:cstheme="minorBidi"/>
                <w:sz w:val="22"/>
                <w:szCs w:val="22"/>
              </w:rPr>
              <w:tab/>
            </w:r>
            <w:r w:rsidR="00D45FA9" w:rsidRPr="004E7D24">
              <w:rPr>
                <w:rStyle w:val="ad"/>
              </w:rPr>
              <w:t>Оценка на  ЛИДЕР и подхода ВОМР</w:t>
            </w:r>
            <w:r w:rsidR="00D45FA9">
              <w:rPr>
                <w:webHidden/>
              </w:rPr>
              <w:tab/>
            </w:r>
            <w:r w:rsidR="008F4651">
              <w:rPr>
                <w:webHidden/>
              </w:rPr>
              <w:t>16</w:t>
            </w:r>
          </w:hyperlink>
        </w:p>
        <w:p w14:paraId="6948EAA9" w14:textId="5433B0A9" w:rsidR="00D45FA9" w:rsidRDefault="00F23BAF">
          <w:pPr>
            <w:pStyle w:val="11"/>
            <w:tabs>
              <w:tab w:val="left" w:pos="660"/>
              <w:tab w:val="right" w:leader="dot" w:pos="9203"/>
            </w:tabs>
            <w:rPr>
              <w:rFonts w:asciiTheme="minorHAnsi" w:eastAsiaTheme="minorEastAsia" w:hAnsiTheme="minorHAnsi" w:cstheme="minorBidi"/>
              <w:sz w:val="22"/>
              <w:szCs w:val="22"/>
            </w:rPr>
          </w:pPr>
          <w:hyperlink w:anchor="_Toc93489777" w:history="1">
            <w:r w:rsidR="00D45FA9" w:rsidRPr="004E7D24">
              <w:rPr>
                <w:rStyle w:val="ad"/>
              </w:rPr>
              <w:t>3.1.</w:t>
            </w:r>
            <w:r w:rsidR="00D45FA9">
              <w:rPr>
                <w:rFonts w:asciiTheme="minorHAnsi" w:eastAsiaTheme="minorEastAsia" w:hAnsiTheme="minorHAnsi" w:cstheme="minorBidi"/>
                <w:sz w:val="22"/>
                <w:szCs w:val="22"/>
              </w:rPr>
              <w:tab/>
            </w:r>
            <w:r w:rsidR="00D45FA9" w:rsidRPr="004E7D24">
              <w:rPr>
                <w:rStyle w:val="ad"/>
              </w:rPr>
              <w:t>Обща информация за  ЛИДЕР и подхода ВОМР</w:t>
            </w:r>
            <w:r w:rsidR="00D45FA9">
              <w:rPr>
                <w:webHidden/>
              </w:rPr>
              <w:tab/>
            </w:r>
            <w:r w:rsidR="008F4651">
              <w:rPr>
                <w:webHidden/>
              </w:rPr>
              <w:t>16</w:t>
            </w:r>
          </w:hyperlink>
        </w:p>
        <w:p w14:paraId="2D5F3BAC" w14:textId="67B0ED7E" w:rsidR="00D45FA9" w:rsidRDefault="00F23BAF">
          <w:pPr>
            <w:pStyle w:val="11"/>
            <w:tabs>
              <w:tab w:val="left" w:pos="660"/>
              <w:tab w:val="right" w:leader="dot" w:pos="9203"/>
            </w:tabs>
            <w:rPr>
              <w:rFonts w:asciiTheme="minorHAnsi" w:eastAsiaTheme="minorEastAsia" w:hAnsiTheme="minorHAnsi" w:cstheme="minorBidi"/>
              <w:sz w:val="22"/>
              <w:szCs w:val="22"/>
            </w:rPr>
          </w:pPr>
          <w:hyperlink w:anchor="_Toc93489778" w:history="1">
            <w:r w:rsidR="00D45FA9" w:rsidRPr="004E7D24">
              <w:rPr>
                <w:rStyle w:val="ad"/>
              </w:rPr>
              <w:t>3.2.</w:t>
            </w:r>
            <w:r w:rsidR="00D45FA9">
              <w:rPr>
                <w:rFonts w:asciiTheme="minorHAnsi" w:eastAsiaTheme="minorEastAsia" w:hAnsiTheme="minorHAnsi" w:cstheme="minorBidi"/>
                <w:sz w:val="22"/>
                <w:szCs w:val="22"/>
              </w:rPr>
              <w:tab/>
            </w:r>
            <w:r w:rsidR="00D45FA9" w:rsidRPr="004E7D24">
              <w:rPr>
                <w:rStyle w:val="ad"/>
              </w:rPr>
              <w:t>Напредък на процеса на договаряне по подхода ВОМР – открити приеми, одобрени от МИГ проекти, сключени договори</w:t>
            </w:r>
            <w:r w:rsidR="00D45FA9">
              <w:rPr>
                <w:webHidden/>
              </w:rPr>
              <w:tab/>
            </w:r>
            <w:r w:rsidR="008F4651">
              <w:rPr>
                <w:webHidden/>
              </w:rPr>
              <w:t>20</w:t>
            </w:r>
          </w:hyperlink>
        </w:p>
        <w:p w14:paraId="39810D00" w14:textId="1ECB5A9C" w:rsidR="00D45FA9" w:rsidRDefault="00F23BAF">
          <w:pPr>
            <w:pStyle w:val="11"/>
            <w:tabs>
              <w:tab w:val="left" w:pos="880"/>
              <w:tab w:val="right" w:leader="dot" w:pos="9203"/>
            </w:tabs>
            <w:rPr>
              <w:rFonts w:asciiTheme="minorHAnsi" w:eastAsiaTheme="minorEastAsia" w:hAnsiTheme="minorHAnsi" w:cstheme="minorBidi"/>
              <w:sz w:val="22"/>
              <w:szCs w:val="22"/>
            </w:rPr>
          </w:pPr>
          <w:hyperlink w:anchor="_Toc93489779" w:history="1">
            <w:r w:rsidR="00D45FA9" w:rsidRPr="004E7D24">
              <w:rPr>
                <w:rStyle w:val="ad"/>
              </w:rPr>
              <w:t>3.2.1.</w:t>
            </w:r>
            <w:r w:rsidR="00D45FA9">
              <w:rPr>
                <w:rFonts w:asciiTheme="minorHAnsi" w:eastAsiaTheme="minorEastAsia" w:hAnsiTheme="minorHAnsi" w:cstheme="minorBidi"/>
                <w:sz w:val="22"/>
                <w:szCs w:val="22"/>
              </w:rPr>
              <w:tab/>
            </w:r>
            <w:r w:rsidR="00D45FA9" w:rsidRPr="004E7D24">
              <w:rPr>
                <w:rStyle w:val="ad"/>
              </w:rPr>
              <w:t>Сключване на споразумения за одобрение на стратегии за ВОМР</w:t>
            </w:r>
            <w:r w:rsidR="00D45FA9">
              <w:rPr>
                <w:webHidden/>
              </w:rPr>
              <w:tab/>
            </w:r>
            <w:r w:rsidR="008F4651">
              <w:rPr>
                <w:webHidden/>
              </w:rPr>
              <w:t>21</w:t>
            </w:r>
          </w:hyperlink>
        </w:p>
        <w:p w14:paraId="26DC98D6" w14:textId="7B534CEE" w:rsidR="00D45FA9" w:rsidRDefault="00F23BAF">
          <w:pPr>
            <w:pStyle w:val="11"/>
            <w:tabs>
              <w:tab w:val="left" w:pos="1100"/>
              <w:tab w:val="right" w:leader="dot" w:pos="9203"/>
            </w:tabs>
            <w:rPr>
              <w:rFonts w:asciiTheme="minorHAnsi" w:eastAsiaTheme="minorEastAsia" w:hAnsiTheme="minorHAnsi" w:cstheme="minorBidi"/>
              <w:sz w:val="22"/>
              <w:szCs w:val="22"/>
            </w:rPr>
          </w:pPr>
          <w:hyperlink w:anchor="_Toc93489780" w:history="1">
            <w:r w:rsidR="00D45FA9" w:rsidRPr="004E7D24">
              <w:rPr>
                <w:rStyle w:val="ad"/>
              </w:rPr>
              <w:t>3.2.1.1.</w:t>
            </w:r>
            <w:r w:rsidR="00D45FA9">
              <w:rPr>
                <w:rFonts w:asciiTheme="minorHAnsi" w:eastAsiaTheme="minorEastAsia" w:hAnsiTheme="minorHAnsi" w:cstheme="minorBidi"/>
                <w:sz w:val="22"/>
                <w:szCs w:val="22"/>
              </w:rPr>
              <w:tab/>
            </w:r>
            <w:r w:rsidR="00D45FA9" w:rsidRPr="004E7D24">
              <w:rPr>
                <w:rStyle w:val="ad"/>
              </w:rPr>
              <w:t>Първи прием за стратегии за ВОМР по подмярка 19.2</w:t>
            </w:r>
            <w:r w:rsidR="00D45FA9">
              <w:rPr>
                <w:webHidden/>
              </w:rPr>
              <w:tab/>
            </w:r>
            <w:r w:rsidR="008F4651">
              <w:rPr>
                <w:webHidden/>
              </w:rPr>
              <w:t>21</w:t>
            </w:r>
          </w:hyperlink>
        </w:p>
        <w:p w14:paraId="77E0096E" w14:textId="07EC38D7" w:rsidR="00D45FA9" w:rsidRDefault="00F23BAF">
          <w:pPr>
            <w:pStyle w:val="11"/>
            <w:tabs>
              <w:tab w:val="left" w:pos="1100"/>
              <w:tab w:val="right" w:leader="dot" w:pos="9203"/>
            </w:tabs>
            <w:rPr>
              <w:rFonts w:asciiTheme="minorHAnsi" w:eastAsiaTheme="minorEastAsia" w:hAnsiTheme="minorHAnsi" w:cstheme="minorBidi"/>
              <w:sz w:val="22"/>
              <w:szCs w:val="22"/>
            </w:rPr>
          </w:pPr>
          <w:hyperlink w:anchor="_Toc93489781" w:history="1">
            <w:r w:rsidR="00D45FA9" w:rsidRPr="004E7D24">
              <w:rPr>
                <w:rStyle w:val="ad"/>
              </w:rPr>
              <w:t>3.2.1.2.</w:t>
            </w:r>
            <w:r w:rsidR="00D45FA9">
              <w:rPr>
                <w:rFonts w:asciiTheme="minorHAnsi" w:eastAsiaTheme="minorEastAsia" w:hAnsiTheme="minorHAnsi" w:cstheme="minorBidi"/>
                <w:sz w:val="22"/>
                <w:szCs w:val="22"/>
              </w:rPr>
              <w:tab/>
            </w:r>
            <w:r w:rsidR="00D45FA9" w:rsidRPr="004E7D24">
              <w:rPr>
                <w:rStyle w:val="ad"/>
              </w:rPr>
              <w:t>Втори прием за стратегии за ВОМР по подмярка 19.2</w:t>
            </w:r>
            <w:r w:rsidR="00D45FA9">
              <w:rPr>
                <w:webHidden/>
              </w:rPr>
              <w:tab/>
            </w:r>
            <w:r w:rsidR="008F4651">
              <w:rPr>
                <w:webHidden/>
              </w:rPr>
              <w:t>30</w:t>
            </w:r>
          </w:hyperlink>
        </w:p>
        <w:p w14:paraId="68D6A9EF" w14:textId="19AE4699" w:rsidR="00D45FA9" w:rsidRDefault="00F23BAF">
          <w:pPr>
            <w:pStyle w:val="11"/>
            <w:tabs>
              <w:tab w:val="left" w:pos="880"/>
              <w:tab w:val="right" w:leader="dot" w:pos="9203"/>
            </w:tabs>
            <w:rPr>
              <w:rFonts w:asciiTheme="minorHAnsi" w:eastAsiaTheme="minorEastAsia" w:hAnsiTheme="minorHAnsi" w:cstheme="minorBidi"/>
              <w:sz w:val="22"/>
              <w:szCs w:val="22"/>
            </w:rPr>
          </w:pPr>
          <w:hyperlink w:anchor="_Toc93489782" w:history="1">
            <w:r w:rsidR="00D45FA9" w:rsidRPr="004E7D24">
              <w:rPr>
                <w:rStyle w:val="ad"/>
              </w:rPr>
              <w:t>3.2.2.</w:t>
            </w:r>
            <w:r w:rsidR="00D45FA9">
              <w:rPr>
                <w:rFonts w:asciiTheme="minorHAnsi" w:eastAsiaTheme="minorEastAsia" w:hAnsiTheme="minorHAnsi" w:cstheme="minorBidi"/>
                <w:sz w:val="22"/>
                <w:szCs w:val="22"/>
              </w:rPr>
              <w:tab/>
            </w:r>
            <w:r w:rsidR="00D45FA9" w:rsidRPr="004E7D24">
              <w:rPr>
                <w:rStyle w:val="ad"/>
              </w:rPr>
              <w:t>Договаряне по подхода ВОМР – открити приеми, одобрени от МИГ проекти, сключени договори</w:t>
            </w:r>
            <w:r w:rsidR="00D45FA9">
              <w:rPr>
                <w:webHidden/>
              </w:rPr>
              <w:tab/>
            </w:r>
            <w:r w:rsidR="008F4651">
              <w:rPr>
                <w:webHidden/>
              </w:rPr>
              <w:t>42</w:t>
            </w:r>
          </w:hyperlink>
        </w:p>
        <w:p w14:paraId="0E422219" w14:textId="30CE6949" w:rsidR="00D45FA9" w:rsidRDefault="00F23BAF">
          <w:pPr>
            <w:pStyle w:val="11"/>
            <w:tabs>
              <w:tab w:val="left" w:pos="660"/>
              <w:tab w:val="right" w:leader="dot" w:pos="9203"/>
            </w:tabs>
            <w:rPr>
              <w:rFonts w:asciiTheme="minorHAnsi" w:eastAsiaTheme="minorEastAsia" w:hAnsiTheme="minorHAnsi" w:cstheme="minorBidi"/>
              <w:sz w:val="22"/>
              <w:szCs w:val="22"/>
            </w:rPr>
          </w:pPr>
          <w:hyperlink w:anchor="_Toc93489783" w:history="1">
            <w:r w:rsidR="00D45FA9" w:rsidRPr="004E7D24">
              <w:rPr>
                <w:rStyle w:val="ad"/>
              </w:rPr>
              <w:t>3.3.</w:t>
            </w:r>
            <w:r w:rsidR="00D45FA9">
              <w:rPr>
                <w:rFonts w:asciiTheme="minorHAnsi" w:eastAsiaTheme="minorEastAsia" w:hAnsiTheme="minorHAnsi" w:cstheme="minorBidi"/>
                <w:sz w:val="22"/>
                <w:szCs w:val="22"/>
              </w:rPr>
              <w:tab/>
            </w:r>
            <w:r w:rsidR="00D45FA9" w:rsidRPr="004E7D24">
              <w:rPr>
                <w:rStyle w:val="ad"/>
              </w:rPr>
              <w:t>Напредък по изпълнението на проектите по подхода ВОМР – изпълнени проекти и възстановени разходи на крайни бенефициенти</w:t>
            </w:r>
            <w:r w:rsidR="00D45FA9">
              <w:rPr>
                <w:webHidden/>
              </w:rPr>
              <w:tab/>
            </w:r>
            <w:r w:rsidR="008F4651">
              <w:rPr>
                <w:webHidden/>
              </w:rPr>
              <w:t>62</w:t>
            </w:r>
          </w:hyperlink>
        </w:p>
        <w:p w14:paraId="1A22DE9E" w14:textId="04628C44" w:rsidR="00D45FA9" w:rsidRDefault="00F23BAF">
          <w:pPr>
            <w:pStyle w:val="11"/>
            <w:tabs>
              <w:tab w:val="left" w:pos="660"/>
              <w:tab w:val="right" w:leader="dot" w:pos="9203"/>
            </w:tabs>
            <w:rPr>
              <w:rFonts w:asciiTheme="minorHAnsi" w:eastAsiaTheme="minorEastAsia" w:hAnsiTheme="minorHAnsi" w:cstheme="minorBidi"/>
              <w:sz w:val="22"/>
              <w:szCs w:val="22"/>
            </w:rPr>
          </w:pPr>
          <w:hyperlink w:anchor="_Toc93489784" w:history="1">
            <w:r w:rsidR="00D45FA9" w:rsidRPr="004E7D24">
              <w:rPr>
                <w:rStyle w:val="ad"/>
                <w:lang w:val="en-GB"/>
              </w:rPr>
              <w:t>3.4.</w:t>
            </w:r>
            <w:r w:rsidR="00D45FA9">
              <w:rPr>
                <w:rFonts w:asciiTheme="minorHAnsi" w:eastAsiaTheme="minorEastAsia" w:hAnsiTheme="minorHAnsi" w:cstheme="minorBidi"/>
                <w:sz w:val="22"/>
                <w:szCs w:val="22"/>
              </w:rPr>
              <w:tab/>
            </w:r>
            <w:r w:rsidR="00D45FA9" w:rsidRPr="004E7D24">
              <w:rPr>
                <w:rStyle w:val="ad"/>
              </w:rPr>
              <w:t>Оценка на работата на МИГ с местните общности – извършени обучения, информационни кампании (информационни срещи и конференции, информационни материали,  публикации и др.)</w:t>
            </w:r>
            <w:r w:rsidR="00D45FA9">
              <w:rPr>
                <w:webHidden/>
              </w:rPr>
              <w:tab/>
            </w:r>
            <w:r w:rsidR="008F4651">
              <w:rPr>
                <w:webHidden/>
              </w:rPr>
              <w:t>65</w:t>
            </w:r>
          </w:hyperlink>
        </w:p>
        <w:p w14:paraId="46C31C74" w14:textId="2EC8BCAA" w:rsidR="00D45FA9" w:rsidRDefault="00F23BAF">
          <w:pPr>
            <w:pStyle w:val="11"/>
            <w:tabs>
              <w:tab w:val="left" w:pos="660"/>
              <w:tab w:val="right" w:leader="dot" w:pos="9203"/>
            </w:tabs>
            <w:rPr>
              <w:rFonts w:asciiTheme="minorHAnsi" w:eastAsiaTheme="minorEastAsia" w:hAnsiTheme="minorHAnsi" w:cstheme="minorBidi"/>
              <w:sz w:val="22"/>
              <w:szCs w:val="22"/>
            </w:rPr>
          </w:pPr>
          <w:hyperlink w:anchor="_Toc93489785" w:history="1">
            <w:r w:rsidR="00D45FA9" w:rsidRPr="004E7D24">
              <w:rPr>
                <w:rStyle w:val="ad"/>
              </w:rPr>
              <w:t>3.5.</w:t>
            </w:r>
            <w:r w:rsidR="00D45FA9">
              <w:rPr>
                <w:rFonts w:asciiTheme="minorHAnsi" w:eastAsiaTheme="minorEastAsia" w:hAnsiTheme="minorHAnsi" w:cstheme="minorBidi"/>
                <w:sz w:val="22"/>
                <w:szCs w:val="22"/>
              </w:rPr>
              <w:tab/>
            </w:r>
            <w:r w:rsidR="00D45FA9" w:rsidRPr="004E7D24">
              <w:rPr>
                <w:rStyle w:val="ad"/>
              </w:rPr>
              <w:t>Оценка на нивото на постигане на общите индикатори за изпълнение на стратегиите и индикаторите по мерките на стратегиите за ВОМР, промени в индикаторите – причини и резултати</w:t>
            </w:r>
            <w:r w:rsidR="00D45FA9">
              <w:rPr>
                <w:webHidden/>
              </w:rPr>
              <w:tab/>
            </w:r>
            <w:r w:rsidR="00D45FA9">
              <w:rPr>
                <w:webHidden/>
              </w:rPr>
              <w:fldChar w:fldCharType="begin"/>
            </w:r>
            <w:r w:rsidR="00D45FA9">
              <w:rPr>
                <w:webHidden/>
              </w:rPr>
              <w:instrText xml:space="preserve"> PAGEREF _Toc93489785 \h </w:instrText>
            </w:r>
            <w:r w:rsidR="00D45FA9">
              <w:rPr>
                <w:webHidden/>
              </w:rPr>
            </w:r>
            <w:r w:rsidR="00D45FA9">
              <w:rPr>
                <w:webHidden/>
              </w:rPr>
              <w:fldChar w:fldCharType="separate"/>
            </w:r>
            <w:r w:rsidR="008F4651">
              <w:rPr>
                <w:webHidden/>
              </w:rPr>
              <w:t>69</w:t>
            </w:r>
            <w:r w:rsidR="00D45FA9">
              <w:rPr>
                <w:webHidden/>
              </w:rPr>
              <w:fldChar w:fldCharType="end"/>
            </w:r>
          </w:hyperlink>
        </w:p>
        <w:p w14:paraId="46276BCD" w14:textId="5630BE61" w:rsidR="00D45FA9" w:rsidRDefault="00F23BAF">
          <w:pPr>
            <w:pStyle w:val="11"/>
            <w:tabs>
              <w:tab w:val="left" w:pos="660"/>
              <w:tab w:val="right" w:leader="dot" w:pos="9203"/>
            </w:tabs>
            <w:rPr>
              <w:rFonts w:asciiTheme="minorHAnsi" w:eastAsiaTheme="minorEastAsia" w:hAnsiTheme="minorHAnsi" w:cstheme="minorBidi"/>
              <w:sz w:val="22"/>
              <w:szCs w:val="22"/>
            </w:rPr>
          </w:pPr>
          <w:hyperlink w:anchor="_Toc93489786" w:history="1">
            <w:r w:rsidR="00D45FA9" w:rsidRPr="004E7D24">
              <w:rPr>
                <w:rStyle w:val="ad"/>
              </w:rPr>
              <w:t>3.6.</w:t>
            </w:r>
            <w:r w:rsidR="00D45FA9">
              <w:rPr>
                <w:rFonts w:asciiTheme="minorHAnsi" w:eastAsiaTheme="minorEastAsia" w:hAnsiTheme="minorHAnsi" w:cstheme="minorBidi"/>
                <w:sz w:val="22"/>
                <w:szCs w:val="22"/>
              </w:rPr>
              <w:tab/>
            </w:r>
            <w:r w:rsidR="00D45FA9" w:rsidRPr="004E7D24">
              <w:rPr>
                <w:rStyle w:val="ad"/>
              </w:rPr>
              <w:t>Оценка на икономическото въздействие на подхода ВОМР на териториите на прилагане – извършени инвестиции, подкрепена и създадена заетост с финансиране от подхода ВОМР на териториите на неговото прилагане, добавена стойност на инвестициите по ВОМР</w:t>
            </w:r>
            <w:r w:rsidR="00D45FA9">
              <w:rPr>
                <w:webHidden/>
              </w:rPr>
              <w:tab/>
            </w:r>
            <w:r w:rsidR="008F4651">
              <w:rPr>
                <w:webHidden/>
              </w:rPr>
              <w:t>79</w:t>
            </w:r>
          </w:hyperlink>
        </w:p>
        <w:p w14:paraId="715F7342" w14:textId="702A5767" w:rsidR="00D45FA9" w:rsidRDefault="00F23BAF">
          <w:pPr>
            <w:pStyle w:val="11"/>
            <w:tabs>
              <w:tab w:val="left" w:pos="660"/>
              <w:tab w:val="right" w:leader="dot" w:pos="9203"/>
            </w:tabs>
            <w:rPr>
              <w:rFonts w:asciiTheme="minorHAnsi" w:eastAsiaTheme="minorEastAsia" w:hAnsiTheme="minorHAnsi" w:cstheme="minorBidi"/>
              <w:sz w:val="22"/>
              <w:szCs w:val="22"/>
            </w:rPr>
          </w:pPr>
          <w:hyperlink w:anchor="_Toc93489787" w:history="1">
            <w:r w:rsidR="00D45FA9" w:rsidRPr="004E7D24">
              <w:rPr>
                <w:rStyle w:val="ad"/>
              </w:rPr>
              <w:t>3.7.</w:t>
            </w:r>
            <w:r w:rsidR="00D45FA9">
              <w:rPr>
                <w:rFonts w:asciiTheme="minorHAnsi" w:eastAsiaTheme="minorEastAsia" w:hAnsiTheme="minorHAnsi" w:cstheme="minorBidi"/>
                <w:sz w:val="22"/>
                <w:szCs w:val="22"/>
              </w:rPr>
              <w:tab/>
            </w:r>
            <w:r w:rsidR="00D45FA9" w:rsidRPr="004E7D24">
              <w:rPr>
                <w:rStyle w:val="ad"/>
              </w:rPr>
              <w:t>Оценка на социалното въздействие на подхода ВОМР на териториите на прилагане – въздействие върху формирането на местната идентичност, активизиране на местните общности, повишаване на уменията на населението и потенциала за развитие на териториите на прилагане на подхода, повишаване на капацитета за работа по проекти, финансирани от ЕС, насърчаване на децентрализацията и местното самоуправление, задържане на населението и потенциал за намаляване на процеса на обезлюдяване</w:t>
            </w:r>
            <w:r w:rsidR="00D45FA9">
              <w:rPr>
                <w:webHidden/>
              </w:rPr>
              <w:tab/>
            </w:r>
            <w:r w:rsidR="008F4651">
              <w:rPr>
                <w:webHidden/>
              </w:rPr>
              <w:t>80</w:t>
            </w:r>
          </w:hyperlink>
        </w:p>
        <w:p w14:paraId="75D5985E" w14:textId="2FC87A73" w:rsidR="00D45FA9" w:rsidRDefault="00F23BAF">
          <w:pPr>
            <w:pStyle w:val="11"/>
            <w:tabs>
              <w:tab w:val="left" w:pos="660"/>
              <w:tab w:val="right" w:leader="dot" w:pos="9203"/>
            </w:tabs>
            <w:rPr>
              <w:rFonts w:asciiTheme="minorHAnsi" w:eastAsiaTheme="minorEastAsia" w:hAnsiTheme="minorHAnsi" w:cstheme="minorBidi"/>
              <w:sz w:val="22"/>
              <w:szCs w:val="22"/>
            </w:rPr>
          </w:pPr>
          <w:hyperlink w:anchor="_Toc93489788" w:history="1">
            <w:r w:rsidR="00D45FA9" w:rsidRPr="004E7D24">
              <w:rPr>
                <w:rStyle w:val="ad"/>
              </w:rPr>
              <w:t>3.8.</w:t>
            </w:r>
            <w:r w:rsidR="00D45FA9">
              <w:rPr>
                <w:rFonts w:asciiTheme="minorHAnsi" w:eastAsiaTheme="minorEastAsia" w:hAnsiTheme="minorHAnsi" w:cstheme="minorBidi"/>
                <w:sz w:val="22"/>
                <w:szCs w:val="22"/>
              </w:rPr>
              <w:tab/>
            </w:r>
            <w:r w:rsidR="00D45FA9" w:rsidRPr="004E7D24">
              <w:rPr>
                <w:rStyle w:val="ad"/>
              </w:rPr>
              <w:t>Оценката на механизма за администриране и прилагане на подхода ВОМР, включващо нормативната уредба и правилата за прилагане</w:t>
            </w:r>
            <w:r w:rsidR="00D45FA9">
              <w:rPr>
                <w:webHidden/>
              </w:rPr>
              <w:tab/>
            </w:r>
            <w:r w:rsidR="008F4651">
              <w:rPr>
                <w:webHidden/>
              </w:rPr>
              <w:t>81</w:t>
            </w:r>
          </w:hyperlink>
        </w:p>
        <w:p w14:paraId="1E4355D9" w14:textId="6E471887" w:rsidR="00D45FA9" w:rsidRDefault="00F23BAF">
          <w:pPr>
            <w:pStyle w:val="11"/>
            <w:tabs>
              <w:tab w:val="right" w:leader="dot" w:pos="9203"/>
            </w:tabs>
            <w:rPr>
              <w:rFonts w:asciiTheme="minorHAnsi" w:eastAsiaTheme="minorEastAsia" w:hAnsiTheme="minorHAnsi" w:cstheme="minorBidi"/>
              <w:sz w:val="22"/>
              <w:szCs w:val="22"/>
            </w:rPr>
          </w:pPr>
          <w:hyperlink w:anchor="_Toc93489789" w:history="1">
            <w:r w:rsidR="00D45FA9" w:rsidRPr="004E7D24">
              <w:rPr>
                <w:rStyle w:val="ad"/>
              </w:rPr>
              <w:t>Правна рамка за прилагане на подхода ВОМР</w:t>
            </w:r>
            <w:r w:rsidR="00D45FA9">
              <w:rPr>
                <w:webHidden/>
              </w:rPr>
              <w:tab/>
            </w:r>
            <w:r w:rsidR="008F4651">
              <w:rPr>
                <w:webHidden/>
              </w:rPr>
              <w:t>81</w:t>
            </w:r>
          </w:hyperlink>
        </w:p>
        <w:p w14:paraId="18411783" w14:textId="3844186E" w:rsidR="00D45FA9" w:rsidRDefault="00F23BAF">
          <w:pPr>
            <w:pStyle w:val="11"/>
            <w:tabs>
              <w:tab w:val="right" w:leader="dot" w:pos="9203"/>
            </w:tabs>
            <w:rPr>
              <w:rFonts w:asciiTheme="minorHAnsi" w:eastAsiaTheme="minorEastAsia" w:hAnsiTheme="minorHAnsi" w:cstheme="minorBidi"/>
              <w:sz w:val="22"/>
              <w:szCs w:val="22"/>
            </w:rPr>
          </w:pPr>
          <w:hyperlink w:anchor="_Toc93489790" w:history="1">
            <w:r w:rsidR="00D45FA9" w:rsidRPr="004E7D24">
              <w:rPr>
                <w:rStyle w:val="ad"/>
                <w:b/>
              </w:rPr>
              <w:t>Структура на прилагане на подхода ВОМР</w:t>
            </w:r>
            <w:r w:rsidR="00D45FA9">
              <w:rPr>
                <w:webHidden/>
              </w:rPr>
              <w:tab/>
            </w:r>
            <w:r w:rsidR="008F4651">
              <w:rPr>
                <w:webHidden/>
              </w:rPr>
              <w:t>85</w:t>
            </w:r>
          </w:hyperlink>
        </w:p>
        <w:p w14:paraId="142FC07A" w14:textId="1CB9BBE3" w:rsidR="00D45FA9" w:rsidRDefault="00F23BAF">
          <w:pPr>
            <w:pStyle w:val="11"/>
            <w:tabs>
              <w:tab w:val="left" w:pos="660"/>
              <w:tab w:val="right" w:leader="dot" w:pos="9203"/>
            </w:tabs>
            <w:rPr>
              <w:rFonts w:asciiTheme="minorHAnsi" w:eastAsiaTheme="minorEastAsia" w:hAnsiTheme="minorHAnsi" w:cstheme="minorBidi"/>
              <w:sz w:val="22"/>
              <w:szCs w:val="22"/>
            </w:rPr>
          </w:pPr>
          <w:hyperlink w:anchor="_Toc93489791" w:history="1">
            <w:r w:rsidR="00D45FA9" w:rsidRPr="004E7D24">
              <w:rPr>
                <w:rStyle w:val="ad"/>
              </w:rPr>
              <w:t>3.9.</w:t>
            </w:r>
            <w:r w:rsidR="00D45FA9">
              <w:rPr>
                <w:rFonts w:asciiTheme="minorHAnsi" w:eastAsiaTheme="minorEastAsia" w:hAnsiTheme="minorHAnsi" w:cstheme="minorBidi"/>
                <w:sz w:val="22"/>
                <w:szCs w:val="22"/>
              </w:rPr>
              <w:tab/>
            </w:r>
            <w:r w:rsidR="00D45FA9" w:rsidRPr="004E7D24">
              <w:rPr>
                <w:rStyle w:val="ad"/>
              </w:rPr>
              <w:t>Оценка на взаимодействието между заинтересованите страни при прилагането на подхода ВОМР. Оценката следва да се фокусира върху ефективността на взаимодействието между всички управляващи органи, участващи в подхода, ДФЗ, МИГ и крайните бенефициенти към стратегиите за ВОМР</w:t>
            </w:r>
            <w:r w:rsidR="00D45FA9">
              <w:rPr>
                <w:webHidden/>
              </w:rPr>
              <w:tab/>
            </w:r>
            <w:r w:rsidR="008F4651">
              <w:rPr>
                <w:webHidden/>
              </w:rPr>
              <w:t>91</w:t>
            </w:r>
          </w:hyperlink>
        </w:p>
        <w:p w14:paraId="06F7D187" w14:textId="1F5DF8E2" w:rsidR="00D45FA9" w:rsidRDefault="00F23BAF">
          <w:pPr>
            <w:pStyle w:val="11"/>
            <w:tabs>
              <w:tab w:val="left" w:pos="880"/>
              <w:tab w:val="right" w:leader="dot" w:pos="9203"/>
            </w:tabs>
            <w:rPr>
              <w:rFonts w:asciiTheme="minorHAnsi" w:eastAsiaTheme="minorEastAsia" w:hAnsiTheme="minorHAnsi" w:cstheme="minorBidi"/>
              <w:sz w:val="22"/>
              <w:szCs w:val="22"/>
            </w:rPr>
          </w:pPr>
          <w:hyperlink w:anchor="_Toc93489792" w:history="1">
            <w:r w:rsidR="00D45FA9" w:rsidRPr="004E7D24">
              <w:rPr>
                <w:rStyle w:val="ad"/>
              </w:rPr>
              <w:t>3.10.</w:t>
            </w:r>
            <w:r w:rsidR="00D45FA9">
              <w:rPr>
                <w:rFonts w:asciiTheme="minorHAnsi" w:eastAsiaTheme="minorEastAsia" w:hAnsiTheme="minorHAnsi" w:cstheme="minorBidi"/>
                <w:sz w:val="22"/>
                <w:szCs w:val="22"/>
              </w:rPr>
              <w:tab/>
            </w:r>
            <w:r w:rsidR="00D45FA9" w:rsidRPr="004E7D24">
              <w:rPr>
                <w:rStyle w:val="ad"/>
              </w:rPr>
              <w:t>Оценка на административния капацитет на МИГ, включваща окомплектованост на екипите на МИГ и текучество на персонала, структура и представителност на местната общност в управителните съвети и общите събрания на МИГ</w:t>
            </w:r>
            <w:r w:rsidR="00D45FA9">
              <w:rPr>
                <w:webHidden/>
              </w:rPr>
              <w:tab/>
            </w:r>
            <w:r w:rsidR="00D45FA9">
              <w:rPr>
                <w:webHidden/>
              </w:rPr>
              <w:fldChar w:fldCharType="begin"/>
            </w:r>
            <w:r w:rsidR="00D45FA9">
              <w:rPr>
                <w:webHidden/>
              </w:rPr>
              <w:instrText xml:space="preserve"> PAGEREF _Toc93489792 \h </w:instrText>
            </w:r>
            <w:r w:rsidR="00D45FA9">
              <w:rPr>
                <w:webHidden/>
              </w:rPr>
            </w:r>
            <w:r w:rsidR="00D45FA9">
              <w:rPr>
                <w:webHidden/>
              </w:rPr>
              <w:fldChar w:fldCharType="separate"/>
            </w:r>
            <w:r w:rsidR="00D45FA9">
              <w:rPr>
                <w:webHidden/>
              </w:rPr>
              <w:t>9</w:t>
            </w:r>
            <w:r w:rsidR="008F4651">
              <w:rPr>
                <w:webHidden/>
              </w:rPr>
              <w:t>3</w:t>
            </w:r>
            <w:r w:rsidR="00D45FA9">
              <w:rPr>
                <w:webHidden/>
              </w:rPr>
              <w:fldChar w:fldCharType="end"/>
            </w:r>
          </w:hyperlink>
        </w:p>
        <w:p w14:paraId="6C2DED46" w14:textId="786786E5" w:rsidR="00D45FA9" w:rsidRDefault="00F23BAF">
          <w:pPr>
            <w:pStyle w:val="11"/>
            <w:tabs>
              <w:tab w:val="left" w:pos="880"/>
              <w:tab w:val="right" w:leader="dot" w:pos="9203"/>
            </w:tabs>
            <w:rPr>
              <w:rFonts w:asciiTheme="minorHAnsi" w:eastAsiaTheme="minorEastAsia" w:hAnsiTheme="minorHAnsi" w:cstheme="minorBidi"/>
              <w:sz w:val="22"/>
              <w:szCs w:val="22"/>
            </w:rPr>
          </w:pPr>
          <w:hyperlink w:anchor="_Toc93489793" w:history="1">
            <w:r w:rsidR="00D45FA9" w:rsidRPr="004E7D24">
              <w:rPr>
                <w:rStyle w:val="ad"/>
              </w:rPr>
              <w:t>3.11.</w:t>
            </w:r>
            <w:r w:rsidR="00D45FA9">
              <w:rPr>
                <w:rFonts w:asciiTheme="minorHAnsi" w:eastAsiaTheme="minorEastAsia" w:hAnsiTheme="minorHAnsi" w:cstheme="minorBidi"/>
                <w:sz w:val="22"/>
                <w:szCs w:val="22"/>
              </w:rPr>
              <w:tab/>
            </w:r>
            <w:r w:rsidR="00D45FA9" w:rsidRPr="004E7D24">
              <w:rPr>
                <w:rStyle w:val="ad"/>
              </w:rPr>
              <w:t>Оценка на прилагането на подмярка 19.1 „Помощ за подготвителни дейности“ от ПРСР 2014-2020 г., включително и прилагане на „Малки пилотни проекти“</w:t>
            </w:r>
            <w:r w:rsidR="00D45FA9">
              <w:rPr>
                <w:webHidden/>
              </w:rPr>
              <w:tab/>
            </w:r>
            <w:r w:rsidR="00D45FA9">
              <w:rPr>
                <w:webHidden/>
              </w:rPr>
              <w:fldChar w:fldCharType="begin"/>
            </w:r>
            <w:r w:rsidR="00D45FA9">
              <w:rPr>
                <w:webHidden/>
              </w:rPr>
              <w:instrText xml:space="preserve"> PAGEREF _Toc93489793 \h </w:instrText>
            </w:r>
            <w:r w:rsidR="00D45FA9">
              <w:rPr>
                <w:webHidden/>
              </w:rPr>
            </w:r>
            <w:r w:rsidR="00D45FA9">
              <w:rPr>
                <w:webHidden/>
              </w:rPr>
              <w:fldChar w:fldCharType="separate"/>
            </w:r>
            <w:r w:rsidR="00D45FA9">
              <w:rPr>
                <w:webHidden/>
              </w:rPr>
              <w:t>10</w:t>
            </w:r>
            <w:r w:rsidR="00AA0358">
              <w:rPr>
                <w:webHidden/>
              </w:rPr>
              <w:t>3</w:t>
            </w:r>
            <w:r w:rsidR="00D45FA9">
              <w:rPr>
                <w:webHidden/>
              </w:rPr>
              <w:fldChar w:fldCharType="end"/>
            </w:r>
          </w:hyperlink>
        </w:p>
        <w:p w14:paraId="38F49057" w14:textId="5077AD22" w:rsidR="00D45FA9" w:rsidRDefault="00F23BAF">
          <w:pPr>
            <w:pStyle w:val="11"/>
            <w:tabs>
              <w:tab w:val="left" w:pos="880"/>
              <w:tab w:val="right" w:leader="dot" w:pos="9203"/>
            </w:tabs>
            <w:rPr>
              <w:rFonts w:asciiTheme="minorHAnsi" w:eastAsiaTheme="minorEastAsia" w:hAnsiTheme="minorHAnsi" w:cstheme="minorBidi"/>
              <w:sz w:val="22"/>
              <w:szCs w:val="22"/>
            </w:rPr>
          </w:pPr>
          <w:hyperlink w:anchor="_Toc93489794" w:history="1">
            <w:r w:rsidR="00D45FA9" w:rsidRPr="004E7D24">
              <w:rPr>
                <w:rStyle w:val="ad"/>
              </w:rPr>
              <w:t>3.12.</w:t>
            </w:r>
            <w:r w:rsidR="00D45FA9">
              <w:rPr>
                <w:rFonts w:asciiTheme="minorHAnsi" w:eastAsiaTheme="minorEastAsia" w:hAnsiTheme="minorHAnsi" w:cstheme="minorBidi"/>
                <w:sz w:val="22"/>
                <w:szCs w:val="22"/>
              </w:rPr>
              <w:tab/>
            </w:r>
            <w:r w:rsidR="00D45FA9" w:rsidRPr="004E7D24">
              <w:rPr>
                <w:rStyle w:val="ad"/>
              </w:rPr>
              <w:t>Оценка на устойчивостта на стратегиите за ВОМР – промени в стратегиите, причини и резултати</w:t>
            </w:r>
            <w:r w:rsidR="00D45FA9">
              <w:rPr>
                <w:webHidden/>
              </w:rPr>
              <w:tab/>
            </w:r>
            <w:r w:rsidR="00D45FA9">
              <w:rPr>
                <w:webHidden/>
              </w:rPr>
              <w:fldChar w:fldCharType="begin"/>
            </w:r>
            <w:r w:rsidR="00D45FA9">
              <w:rPr>
                <w:webHidden/>
              </w:rPr>
              <w:instrText xml:space="preserve"> PAGEREF _Toc93489794 \h </w:instrText>
            </w:r>
            <w:r w:rsidR="00D45FA9">
              <w:rPr>
                <w:webHidden/>
              </w:rPr>
            </w:r>
            <w:r w:rsidR="00D45FA9">
              <w:rPr>
                <w:webHidden/>
              </w:rPr>
              <w:fldChar w:fldCharType="separate"/>
            </w:r>
            <w:r w:rsidR="00D45FA9">
              <w:rPr>
                <w:webHidden/>
              </w:rPr>
              <w:t>12</w:t>
            </w:r>
            <w:r w:rsidR="00AA0358">
              <w:rPr>
                <w:webHidden/>
              </w:rPr>
              <w:t>2</w:t>
            </w:r>
            <w:r w:rsidR="00D45FA9">
              <w:rPr>
                <w:webHidden/>
              </w:rPr>
              <w:fldChar w:fldCharType="end"/>
            </w:r>
          </w:hyperlink>
        </w:p>
        <w:p w14:paraId="19522177" w14:textId="7C6F4090" w:rsidR="00D45FA9" w:rsidRDefault="00F23BAF">
          <w:pPr>
            <w:pStyle w:val="11"/>
            <w:tabs>
              <w:tab w:val="left" w:pos="880"/>
              <w:tab w:val="right" w:leader="dot" w:pos="9203"/>
            </w:tabs>
            <w:rPr>
              <w:rFonts w:asciiTheme="minorHAnsi" w:eastAsiaTheme="minorEastAsia" w:hAnsiTheme="minorHAnsi" w:cstheme="minorBidi"/>
              <w:sz w:val="22"/>
              <w:szCs w:val="22"/>
            </w:rPr>
          </w:pPr>
          <w:hyperlink w:anchor="_Toc93489795" w:history="1">
            <w:r w:rsidR="00D45FA9" w:rsidRPr="004E7D24">
              <w:rPr>
                <w:rStyle w:val="ad"/>
              </w:rPr>
              <w:t>3.13.</w:t>
            </w:r>
            <w:r w:rsidR="00D45FA9">
              <w:rPr>
                <w:rFonts w:asciiTheme="minorHAnsi" w:eastAsiaTheme="minorEastAsia" w:hAnsiTheme="minorHAnsi" w:cstheme="minorBidi"/>
                <w:sz w:val="22"/>
                <w:szCs w:val="22"/>
              </w:rPr>
              <w:tab/>
            </w:r>
            <w:r w:rsidR="00D45FA9" w:rsidRPr="004E7D24">
              <w:rPr>
                <w:rStyle w:val="ad"/>
              </w:rPr>
              <w:t>Оценка на прилагането на подмярка 19.3 „Подготовка и изпълнение на дейности за сътрудничество на местни инициативни групи“ от ПРСР 2014-2020 г.</w:t>
            </w:r>
            <w:r w:rsidR="00D45FA9">
              <w:rPr>
                <w:webHidden/>
              </w:rPr>
              <w:tab/>
            </w:r>
            <w:r w:rsidR="00D45FA9">
              <w:rPr>
                <w:webHidden/>
              </w:rPr>
              <w:fldChar w:fldCharType="begin"/>
            </w:r>
            <w:r w:rsidR="00D45FA9">
              <w:rPr>
                <w:webHidden/>
              </w:rPr>
              <w:instrText xml:space="preserve"> PAGEREF _Toc93489795 \h </w:instrText>
            </w:r>
            <w:r w:rsidR="00D45FA9">
              <w:rPr>
                <w:webHidden/>
              </w:rPr>
            </w:r>
            <w:r w:rsidR="00D45FA9">
              <w:rPr>
                <w:webHidden/>
              </w:rPr>
              <w:fldChar w:fldCharType="separate"/>
            </w:r>
            <w:r w:rsidR="00D45FA9">
              <w:rPr>
                <w:webHidden/>
              </w:rPr>
              <w:t>12</w:t>
            </w:r>
            <w:r w:rsidR="00AA0358">
              <w:rPr>
                <w:webHidden/>
              </w:rPr>
              <w:t>7</w:t>
            </w:r>
            <w:r w:rsidR="00D45FA9">
              <w:rPr>
                <w:webHidden/>
              </w:rPr>
              <w:fldChar w:fldCharType="end"/>
            </w:r>
          </w:hyperlink>
        </w:p>
        <w:p w14:paraId="7EDA8D1F" w14:textId="2E38FE04" w:rsidR="00D45FA9" w:rsidRDefault="00F23BAF">
          <w:pPr>
            <w:pStyle w:val="11"/>
            <w:tabs>
              <w:tab w:val="left" w:pos="880"/>
              <w:tab w:val="right" w:leader="dot" w:pos="9203"/>
            </w:tabs>
            <w:rPr>
              <w:rFonts w:asciiTheme="minorHAnsi" w:eastAsiaTheme="minorEastAsia" w:hAnsiTheme="minorHAnsi" w:cstheme="minorBidi"/>
              <w:sz w:val="22"/>
              <w:szCs w:val="22"/>
            </w:rPr>
          </w:pPr>
          <w:hyperlink w:anchor="_Toc93489796" w:history="1">
            <w:r w:rsidR="00D45FA9" w:rsidRPr="004E7D24">
              <w:rPr>
                <w:rStyle w:val="ad"/>
              </w:rPr>
              <w:t>3.14.</w:t>
            </w:r>
            <w:r w:rsidR="00D45FA9">
              <w:rPr>
                <w:rFonts w:asciiTheme="minorHAnsi" w:eastAsiaTheme="minorEastAsia" w:hAnsiTheme="minorHAnsi" w:cstheme="minorBidi"/>
                <w:sz w:val="22"/>
                <w:szCs w:val="22"/>
              </w:rPr>
              <w:tab/>
            </w:r>
            <w:r w:rsidR="00D45FA9" w:rsidRPr="004E7D24">
              <w:rPr>
                <w:rStyle w:val="ad"/>
              </w:rPr>
              <w:t>Оценка на ефективността на ИСУН за намаляване на административната тежест за прилагането на подхода ВОМР</w:t>
            </w:r>
            <w:r w:rsidR="00D45FA9">
              <w:rPr>
                <w:webHidden/>
              </w:rPr>
              <w:tab/>
            </w:r>
            <w:r w:rsidR="00D45FA9">
              <w:rPr>
                <w:webHidden/>
              </w:rPr>
              <w:fldChar w:fldCharType="begin"/>
            </w:r>
            <w:r w:rsidR="00D45FA9">
              <w:rPr>
                <w:webHidden/>
              </w:rPr>
              <w:instrText xml:space="preserve"> PAGEREF _Toc93489796 \h </w:instrText>
            </w:r>
            <w:r w:rsidR="00D45FA9">
              <w:rPr>
                <w:webHidden/>
              </w:rPr>
            </w:r>
            <w:r w:rsidR="00D45FA9">
              <w:rPr>
                <w:webHidden/>
              </w:rPr>
              <w:fldChar w:fldCharType="separate"/>
            </w:r>
            <w:r w:rsidR="00D45FA9">
              <w:rPr>
                <w:webHidden/>
              </w:rPr>
              <w:t>13</w:t>
            </w:r>
            <w:r w:rsidR="00AA0358">
              <w:rPr>
                <w:webHidden/>
              </w:rPr>
              <w:t>5</w:t>
            </w:r>
            <w:r w:rsidR="00D45FA9">
              <w:rPr>
                <w:webHidden/>
              </w:rPr>
              <w:fldChar w:fldCharType="end"/>
            </w:r>
          </w:hyperlink>
        </w:p>
        <w:p w14:paraId="2164D5A0" w14:textId="48D2DA7D" w:rsidR="00D45FA9" w:rsidRDefault="00F23BAF">
          <w:pPr>
            <w:pStyle w:val="11"/>
            <w:tabs>
              <w:tab w:val="left" w:pos="440"/>
              <w:tab w:val="right" w:leader="dot" w:pos="9203"/>
            </w:tabs>
            <w:rPr>
              <w:rFonts w:asciiTheme="minorHAnsi" w:eastAsiaTheme="minorEastAsia" w:hAnsiTheme="minorHAnsi" w:cstheme="minorBidi"/>
              <w:sz w:val="22"/>
              <w:szCs w:val="22"/>
            </w:rPr>
          </w:pPr>
          <w:hyperlink w:anchor="_Toc93489797" w:history="1">
            <w:r w:rsidR="00D45FA9" w:rsidRPr="004E7D24">
              <w:rPr>
                <w:rStyle w:val="ad"/>
                <w:lang w:val="en-US"/>
              </w:rPr>
              <w:t>4.</w:t>
            </w:r>
            <w:r w:rsidR="00D45FA9">
              <w:rPr>
                <w:rFonts w:asciiTheme="minorHAnsi" w:eastAsiaTheme="minorEastAsia" w:hAnsiTheme="minorHAnsi" w:cstheme="minorBidi"/>
                <w:sz w:val="22"/>
                <w:szCs w:val="22"/>
              </w:rPr>
              <w:tab/>
            </w:r>
            <w:r w:rsidR="00D45FA9" w:rsidRPr="004E7D24">
              <w:rPr>
                <w:rStyle w:val="ad"/>
              </w:rPr>
              <w:t>Резултати от оценката на прилагането на подхода ЛИДЕР  и подхода ВОМР</w:t>
            </w:r>
            <w:r w:rsidR="00D45FA9">
              <w:rPr>
                <w:webHidden/>
              </w:rPr>
              <w:tab/>
            </w:r>
            <w:r w:rsidR="00D45FA9">
              <w:rPr>
                <w:webHidden/>
              </w:rPr>
              <w:fldChar w:fldCharType="begin"/>
            </w:r>
            <w:r w:rsidR="00D45FA9">
              <w:rPr>
                <w:webHidden/>
              </w:rPr>
              <w:instrText xml:space="preserve"> PAGEREF _Toc93489797 \h </w:instrText>
            </w:r>
            <w:r w:rsidR="00D45FA9">
              <w:rPr>
                <w:webHidden/>
              </w:rPr>
            </w:r>
            <w:r w:rsidR="00D45FA9">
              <w:rPr>
                <w:webHidden/>
              </w:rPr>
              <w:fldChar w:fldCharType="separate"/>
            </w:r>
            <w:r w:rsidR="00D45FA9">
              <w:rPr>
                <w:webHidden/>
              </w:rPr>
              <w:t>13</w:t>
            </w:r>
            <w:r w:rsidR="00AA0358">
              <w:rPr>
                <w:webHidden/>
              </w:rPr>
              <w:t>8</w:t>
            </w:r>
            <w:r w:rsidR="00D45FA9">
              <w:rPr>
                <w:webHidden/>
              </w:rPr>
              <w:fldChar w:fldCharType="end"/>
            </w:r>
          </w:hyperlink>
        </w:p>
        <w:p w14:paraId="34641C3D" w14:textId="31A24FEE" w:rsidR="00D45FA9" w:rsidRDefault="00F23BAF">
          <w:pPr>
            <w:pStyle w:val="11"/>
            <w:tabs>
              <w:tab w:val="left" w:pos="440"/>
              <w:tab w:val="right" w:leader="dot" w:pos="9203"/>
            </w:tabs>
            <w:rPr>
              <w:rFonts w:asciiTheme="minorHAnsi" w:eastAsiaTheme="minorEastAsia" w:hAnsiTheme="minorHAnsi" w:cstheme="minorBidi"/>
              <w:sz w:val="22"/>
              <w:szCs w:val="22"/>
            </w:rPr>
          </w:pPr>
          <w:hyperlink w:anchor="_Toc93489798" w:history="1">
            <w:r w:rsidR="00D45FA9" w:rsidRPr="004E7D24">
              <w:rPr>
                <w:rStyle w:val="ad"/>
              </w:rPr>
              <w:t>5.</w:t>
            </w:r>
            <w:r w:rsidR="00D45FA9">
              <w:rPr>
                <w:rFonts w:asciiTheme="minorHAnsi" w:eastAsiaTheme="minorEastAsia" w:hAnsiTheme="minorHAnsi" w:cstheme="minorBidi"/>
                <w:sz w:val="22"/>
                <w:szCs w:val="22"/>
              </w:rPr>
              <w:tab/>
            </w:r>
            <w:r w:rsidR="00D45FA9" w:rsidRPr="004E7D24">
              <w:rPr>
                <w:rStyle w:val="ad"/>
              </w:rPr>
              <w:t>Заключения и препоръки</w:t>
            </w:r>
            <w:r w:rsidR="00D45FA9">
              <w:rPr>
                <w:webHidden/>
              </w:rPr>
              <w:tab/>
            </w:r>
            <w:r w:rsidR="00D45FA9">
              <w:rPr>
                <w:webHidden/>
              </w:rPr>
              <w:fldChar w:fldCharType="begin"/>
            </w:r>
            <w:r w:rsidR="00D45FA9">
              <w:rPr>
                <w:webHidden/>
              </w:rPr>
              <w:instrText xml:space="preserve"> PAGEREF _Toc93489798 \h </w:instrText>
            </w:r>
            <w:r w:rsidR="00D45FA9">
              <w:rPr>
                <w:webHidden/>
              </w:rPr>
            </w:r>
            <w:r w:rsidR="00D45FA9">
              <w:rPr>
                <w:webHidden/>
              </w:rPr>
              <w:fldChar w:fldCharType="separate"/>
            </w:r>
            <w:r w:rsidR="00D45FA9">
              <w:rPr>
                <w:webHidden/>
              </w:rPr>
              <w:t>1</w:t>
            </w:r>
            <w:r w:rsidR="00FC6445">
              <w:rPr>
                <w:webHidden/>
              </w:rPr>
              <w:t>49</w:t>
            </w:r>
            <w:r w:rsidR="00D45FA9">
              <w:rPr>
                <w:webHidden/>
              </w:rPr>
              <w:fldChar w:fldCharType="end"/>
            </w:r>
          </w:hyperlink>
        </w:p>
        <w:p w14:paraId="2ECCA0C2" w14:textId="7F9C2414" w:rsidR="00C63281" w:rsidRPr="00EA175D" w:rsidRDefault="00C63281" w:rsidP="00EA175D">
          <w:pPr>
            <w:spacing w:line="360" w:lineRule="auto"/>
            <w:jc w:val="both"/>
          </w:pPr>
          <w:r w:rsidRPr="00EA175D">
            <w:rPr>
              <w:b/>
              <w:bCs/>
            </w:rPr>
            <w:fldChar w:fldCharType="end"/>
          </w:r>
        </w:p>
      </w:sdtContent>
    </w:sdt>
    <w:p w14:paraId="7B40008C" w14:textId="77777777" w:rsidR="00A67F07" w:rsidRPr="00EA175D" w:rsidRDefault="00A67F07" w:rsidP="00EA175D">
      <w:pPr>
        <w:spacing w:line="360" w:lineRule="auto"/>
        <w:ind w:firstLine="567"/>
        <w:jc w:val="both"/>
      </w:pPr>
    </w:p>
    <w:p w14:paraId="61620566" w14:textId="395605FB" w:rsidR="00A67F07" w:rsidRPr="00EA175D" w:rsidRDefault="00A425FA" w:rsidP="00EA175D">
      <w:pPr>
        <w:tabs>
          <w:tab w:val="left" w:pos="7248"/>
        </w:tabs>
        <w:spacing w:line="360" w:lineRule="auto"/>
        <w:ind w:firstLine="567"/>
        <w:jc w:val="both"/>
      </w:pPr>
      <w:r w:rsidRPr="00EA175D">
        <w:tab/>
      </w:r>
    </w:p>
    <w:p w14:paraId="087614B7" w14:textId="77777777" w:rsidR="00A67F07" w:rsidRPr="00EA175D" w:rsidRDefault="00A67F07" w:rsidP="00EA175D">
      <w:pPr>
        <w:spacing w:line="360" w:lineRule="auto"/>
        <w:ind w:firstLine="567"/>
        <w:jc w:val="both"/>
      </w:pPr>
    </w:p>
    <w:p w14:paraId="35057138" w14:textId="77777777" w:rsidR="00555114" w:rsidRPr="00EA175D" w:rsidRDefault="00555114" w:rsidP="00EA175D">
      <w:pPr>
        <w:spacing w:line="360" w:lineRule="auto"/>
        <w:ind w:firstLine="567"/>
        <w:jc w:val="both"/>
      </w:pPr>
    </w:p>
    <w:p w14:paraId="2CD548C9" w14:textId="77777777" w:rsidR="00555114" w:rsidRPr="00EA175D" w:rsidRDefault="00555114" w:rsidP="00EA175D">
      <w:pPr>
        <w:spacing w:line="360" w:lineRule="auto"/>
        <w:ind w:firstLine="567"/>
        <w:jc w:val="both"/>
      </w:pPr>
    </w:p>
    <w:p w14:paraId="0D561FE3" w14:textId="77777777" w:rsidR="00555114" w:rsidRPr="00EA175D" w:rsidRDefault="00555114" w:rsidP="00EA175D">
      <w:pPr>
        <w:spacing w:line="360" w:lineRule="auto"/>
        <w:ind w:firstLine="567"/>
        <w:jc w:val="both"/>
      </w:pPr>
    </w:p>
    <w:p w14:paraId="3C120B47" w14:textId="0D70C299" w:rsidR="00555114" w:rsidRPr="00EA175D" w:rsidRDefault="00555114" w:rsidP="00EA175D">
      <w:pPr>
        <w:spacing w:line="360" w:lineRule="auto"/>
        <w:ind w:firstLine="567"/>
        <w:jc w:val="both"/>
      </w:pPr>
    </w:p>
    <w:p w14:paraId="39E61896" w14:textId="51562433" w:rsidR="00082EDD" w:rsidRPr="00EA175D" w:rsidRDefault="00082EDD" w:rsidP="00EA175D">
      <w:pPr>
        <w:spacing w:line="360" w:lineRule="auto"/>
        <w:ind w:firstLine="567"/>
        <w:jc w:val="both"/>
      </w:pPr>
    </w:p>
    <w:p w14:paraId="70B7ABD7" w14:textId="514845D9" w:rsidR="00082EDD" w:rsidRPr="00EA175D" w:rsidRDefault="00082EDD" w:rsidP="00EA175D">
      <w:pPr>
        <w:spacing w:line="360" w:lineRule="auto"/>
        <w:ind w:firstLine="567"/>
        <w:jc w:val="both"/>
      </w:pPr>
    </w:p>
    <w:p w14:paraId="5CAC81A7" w14:textId="60F6CC1E" w:rsidR="00082EDD" w:rsidRPr="00EA175D" w:rsidRDefault="00082EDD" w:rsidP="00EA175D">
      <w:pPr>
        <w:spacing w:line="360" w:lineRule="auto"/>
        <w:ind w:firstLine="567"/>
        <w:jc w:val="both"/>
      </w:pPr>
    </w:p>
    <w:p w14:paraId="337690C6" w14:textId="77777777" w:rsidR="00555114" w:rsidRPr="00EA175D" w:rsidRDefault="00555114" w:rsidP="00823BFC">
      <w:pPr>
        <w:spacing w:line="360" w:lineRule="auto"/>
        <w:jc w:val="both"/>
      </w:pPr>
    </w:p>
    <w:p w14:paraId="7FA51BF2" w14:textId="03FF2C28" w:rsidR="00DF7671" w:rsidRDefault="00555114" w:rsidP="00EA175D">
      <w:pPr>
        <w:pStyle w:val="1"/>
        <w:spacing w:line="360" w:lineRule="auto"/>
        <w:ind w:firstLine="567"/>
        <w:jc w:val="both"/>
        <w:rPr>
          <w:rFonts w:ascii="Times New Roman" w:hAnsi="Times New Roman" w:cs="Times New Roman"/>
          <w:color w:val="auto"/>
          <w:sz w:val="24"/>
          <w:szCs w:val="24"/>
        </w:rPr>
      </w:pPr>
      <w:bookmarkStart w:id="1" w:name="_Toc93489765"/>
      <w:r w:rsidRPr="00EA175D">
        <w:rPr>
          <w:rFonts w:ascii="Times New Roman" w:hAnsi="Times New Roman" w:cs="Times New Roman"/>
          <w:color w:val="auto"/>
          <w:sz w:val="24"/>
          <w:szCs w:val="24"/>
        </w:rPr>
        <w:lastRenderedPageBreak/>
        <w:t>Таблица със съкращенията</w:t>
      </w:r>
      <w:bookmarkEnd w:id="1"/>
    </w:p>
    <w:p w14:paraId="6F4D9BA6" w14:textId="77777777" w:rsidR="00EA175D" w:rsidRPr="00EA175D" w:rsidRDefault="00EA175D" w:rsidP="00EA175D"/>
    <w:tbl>
      <w:tblPr>
        <w:tblStyle w:val="aa"/>
        <w:tblW w:w="9288" w:type="dxa"/>
        <w:jc w:val="center"/>
        <w:tblLook w:val="04A0" w:firstRow="1" w:lastRow="0" w:firstColumn="1" w:lastColumn="0" w:noHBand="0" w:noVBand="1"/>
      </w:tblPr>
      <w:tblGrid>
        <w:gridCol w:w="445"/>
        <w:gridCol w:w="2924"/>
        <w:gridCol w:w="5919"/>
      </w:tblGrid>
      <w:tr w:rsidR="00D35E36" w:rsidRPr="00EA175D" w14:paraId="6F440797" w14:textId="77777777" w:rsidTr="00DF7671">
        <w:trPr>
          <w:jc w:val="center"/>
        </w:trPr>
        <w:tc>
          <w:tcPr>
            <w:tcW w:w="445" w:type="dxa"/>
          </w:tcPr>
          <w:p w14:paraId="0C4CFA5C" w14:textId="77777777" w:rsidR="00D35E36" w:rsidRPr="00EA175D" w:rsidRDefault="00D35E36" w:rsidP="00EA175D">
            <w:pPr>
              <w:spacing w:line="360" w:lineRule="auto"/>
              <w:jc w:val="both"/>
            </w:pPr>
            <w:r w:rsidRPr="00EA175D">
              <w:t>№</w:t>
            </w:r>
          </w:p>
        </w:tc>
        <w:tc>
          <w:tcPr>
            <w:tcW w:w="2924" w:type="dxa"/>
          </w:tcPr>
          <w:p w14:paraId="002D5DE3" w14:textId="77777777" w:rsidR="00D35E36" w:rsidRPr="00EA175D" w:rsidRDefault="00D35E36" w:rsidP="00EA175D">
            <w:pPr>
              <w:spacing w:line="360" w:lineRule="auto"/>
              <w:ind w:hanging="19"/>
              <w:jc w:val="both"/>
            </w:pPr>
          </w:p>
        </w:tc>
        <w:tc>
          <w:tcPr>
            <w:tcW w:w="5919" w:type="dxa"/>
          </w:tcPr>
          <w:p w14:paraId="6777855C" w14:textId="77777777" w:rsidR="00D35E36" w:rsidRPr="00EA175D" w:rsidRDefault="00D35E36" w:rsidP="00EA175D">
            <w:pPr>
              <w:spacing w:line="360" w:lineRule="auto"/>
              <w:jc w:val="both"/>
            </w:pPr>
          </w:p>
        </w:tc>
      </w:tr>
      <w:tr w:rsidR="00D35E36" w:rsidRPr="00EA175D" w14:paraId="674AE287" w14:textId="77777777" w:rsidTr="00DF7671">
        <w:trPr>
          <w:jc w:val="center"/>
        </w:trPr>
        <w:tc>
          <w:tcPr>
            <w:tcW w:w="445" w:type="dxa"/>
          </w:tcPr>
          <w:p w14:paraId="1FE42D09" w14:textId="77777777" w:rsidR="00D35E36" w:rsidRPr="00EA175D" w:rsidRDefault="00D35E36" w:rsidP="00EA175D">
            <w:pPr>
              <w:spacing w:line="360" w:lineRule="auto"/>
              <w:jc w:val="both"/>
            </w:pPr>
          </w:p>
        </w:tc>
        <w:tc>
          <w:tcPr>
            <w:tcW w:w="2924" w:type="dxa"/>
          </w:tcPr>
          <w:p w14:paraId="0FA06B71" w14:textId="77777777" w:rsidR="00D35E36" w:rsidRPr="00EA175D" w:rsidRDefault="00D35E36" w:rsidP="00EA175D">
            <w:pPr>
              <w:spacing w:line="360" w:lineRule="auto"/>
              <w:ind w:hanging="19"/>
              <w:jc w:val="both"/>
              <w:rPr>
                <w:b/>
                <w:bCs/>
              </w:rPr>
            </w:pPr>
            <w:r w:rsidRPr="00EA175D">
              <w:rPr>
                <w:b/>
                <w:bCs/>
              </w:rPr>
              <w:t>ВОМР</w:t>
            </w:r>
          </w:p>
        </w:tc>
        <w:tc>
          <w:tcPr>
            <w:tcW w:w="5919" w:type="dxa"/>
          </w:tcPr>
          <w:p w14:paraId="1846983C" w14:textId="6179B5DE" w:rsidR="00D35E36" w:rsidRPr="00EA175D" w:rsidRDefault="00D35E36" w:rsidP="00EA175D">
            <w:pPr>
              <w:spacing w:line="360" w:lineRule="auto"/>
              <w:jc w:val="both"/>
            </w:pPr>
            <w:r w:rsidRPr="00EA175D">
              <w:t>В</w:t>
            </w:r>
            <w:r w:rsidR="0087203F" w:rsidRPr="00EA175D">
              <w:t>ОДЕНО ОТ ОБЩНОСТИТЕ МЕСТНО РАЗВИТИЕ</w:t>
            </w:r>
          </w:p>
        </w:tc>
      </w:tr>
      <w:tr w:rsidR="00D35E36" w:rsidRPr="00EA175D" w14:paraId="1F8C33A4" w14:textId="77777777" w:rsidTr="00DF7671">
        <w:trPr>
          <w:jc w:val="center"/>
        </w:trPr>
        <w:tc>
          <w:tcPr>
            <w:tcW w:w="445" w:type="dxa"/>
          </w:tcPr>
          <w:p w14:paraId="3EE13FBE" w14:textId="77777777" w:rsidR="00D35E36" w:rsidRPr="00EA175D" w:rsidRDefault="00D35E36" w:rsidP="00EA175D">
            <w:pPr>
              <w:spacing w:line="360" w:lineRule="auto"/>
              <w:jc w:val="both"/>
            </w:pPr>
          </w:p>
        </w:tc>
        <w:tc>
          <w:tcPr>
            <w:tcW w:w="2924" w:type="dxa"/>
          </w:tcPr>
          <w:p w14:paraId="625728AC" w14:textId="6060BF9D" w:rsidR="00D35E36" w:rsidRPr="00EA175D" w:rsidRDefault="00D35E36" w:rsidP="00EA175D">
            <w:pPr>
              <w:spacing w:line="360" w:lineRule="auto"/>
              <w:ind w:hanging="19"/>
              <w:jc w:val="both"/>
              <w:rPr>
                <w:b/>
                <w:bCs/>
              </w:rPr>
            </w:pPr>
            <w:r w:rsidRPr="00EA175D">
              <w:rPr>
                <w:b/>
                <w:bCs/>
                <w:iCs/>
              </w:rPr>
              <w:t>ГД</w:t>
            </w:r>
            <w:r w:rsidR="0087203F" w:rsidRPr="00EA175D">
              <w:rPr>
                <w:b/>
                <w:bCs/>
                <w:iCs/>
              </w:rPr>
              <w:t xml:space="preserve"> </w:t>
            </w:r>
            <w:r w:rsidRPr="00EA175D">
              <w:rPr>
                <w:b/>
                <w:bCs/>
                <w:iCs/>
              </w:rPr>
              <w:t>ЕФК</w:t>
            </w:r>
          </w:p>
        </w:tc>
        <w:tc>
          <w:tcPr>
            <w:tcW w:w="5919" w:type="dxa"/>
          </w:tcPr>
          <w:p w14:paraId="44C047B8" w14:textId="2EBF184C" w:rsidR="00D35E36" w:rsidRPr="00EA175D" w:rsidRDefault="0087203F" w:rsidP="00EA175D">
            <w:pPr>
              <w:spacing w:line="360" w:lineRule="auto"/>
              <w:jc w:val="both"/>
            </w:pPr>
            <w:r w:rsidRPr="00EA175D">
              <w:rPr>
                <w:iCs/>
              </w:rPr>
              <w:t>ГЛАВНА ДИРЕКЦИЯ</w:t>
            </w:r>
            <w:r w:rsidR="00D35E36" w:rsidRPr="00EA175D">
              <w:rPr>
                <w:iCs/>
              </w:rPr>
              <w:t xml:space="preserve"> „</w:t>
            </w:r>
            <w:r w:rsidRPr="00EA175D">
              <w:rPr>
                <w:iCs/>
              </w:rPr>
              <w:t>ЕВРОПЕЙСКИ ФОНДОВЕ ЗА КОНКУРЕНТОСПОСОБНОСТ</w:t>
            </w:r>
            <w:r w:rsidR="00D35E36" w:rsidRPr="00EA175D">
              <w:rPr>
                <w:iCs/>
              </w:rPr>
              <w:t>“</w:t>
            </w:r>
          </w:p>
        </w:tc>
      </w:tr>
      <w:tr w:rsidR="00D35E36" w:rsidRPr="00EA175D" w14:paraId="1BA7BFA5" w14:textId="77777777" w:rsidTr="00DF7671">
        <w:trPr>
          <w:jc w:val="center"/>
        </w:trPr>
        <w:tc>
          <w:tcPr>
            <w:tcW w:w="445" w:type="dxa"/>
          </w:tcPr>
          <w:p w14:paraId="60A5CD3A" w14:textId="77777777" w:rsidR="00D35E36" w:rsidRPr="00EA175D" w:rsidRDefault="00D35E36" w:rsidP="00EA175D">
            <w:pPr>
              <w:spacing w:line="360" w:lineRule="auto"/>
              <w:jc w:val="both"/>
            </w:pPr>
          </w:p>
        </w:tc>
        <w:tc>
          <w:tcPr>
            <w:tcW w:w="2924" w:type="dxa"/>
          </w:tcPr>
          <w:p w14:paraId="53BF222E" w14:textId="5C3FDD1D" w:rsidR="00D35E36" w:rsidRPr="00EA175D" w:rsidRDefault="00D35E36" w:rsidP="00EA175D">
            <w:pPr>
              <w:spacing w:line="360" w:lineRule="auto"/>
              <w:ind w:hanging="19"/>
              <w:jc w:val="both"/>
              <w:rPr>
                <w:b/>
                <w:bCs/>
                <w:iCs/>
              </w:rPr>
            </w:pPr>
            <w:r w:rsidRPr="00EA175D">
              <w:rPr>
                <w:b/>
                <w:bCs/>
                <w:iCs/>
              </w:rPr>
              <w:t>ГД</w:t>
            </w:r>
            <w:r w:rsidR="0087203F" w:rsidRPr="00EA175D">
              <w:rPr>
                <w:b/>
                <w:bCs/>
                <w:iCs/>
              </w:rPr>
              <w:t xml:space="preserve"> </w:t>
            </w:r>
            <w:r w:rsidRPr="00EA175D">
              <w:rPr>
                <w:b/>
                <w:bCs/>
                <w:iCs/>
              </w:rPr>
              <w:t>ЕФМПП</w:t>
            </w:r>
          </w:p>
        </w:tc>
        <w:tc>
          <w:tcPr>
            <w:tcW w:w="5919" w:type="dxa"/>
          </w:tcPr>
          <w:p w14:paraId="668F1F11" w14:textId="69F0F6FB" w:rsidR="00D35E36" w:rsidRPr="00EA175D" w:rsidRDefault="0087203F" w:rsidP="00EA175D">
            <w:pPr>
              <w:spacing w:line="360" w:lineRule="auto"/>
              <w:jc w:val="both"/>
              <w:rPr>
                <w:iCs/>
              </w:rPr>
            </w:pPr>
            <w:r w:rsidRPr="00EA175D">
              <w:rPr>
                <w:iCs/>
              </w:rPr>
              <w:t xml:space="preserve">ГЛАВНА ДИРЕКЦИЯ „ЕВРОПЕЙСКИ ФОНДОВЕ, МЕЖДУНАРОДНИ ПРОГРАМИ И ПРОЕКТИ“ </w:t>
            </w:r>
            <w:r w:rsidR="00D35E36" w:rsidRPr="00EA175D">
              <w:rPr>
                <w:iCs/>
              </w:rPr>
              <w:t xml:space="preserve"> </w:t>
            </w:r>
          </w:p>
        </w:tc>
      </w:tr>
      <w:tr w:rsidR="00D35E36" w:rsidRPr="00EA175D" w14:paraId="7D73F866" w14:textId="77777777" w:rsidTr="00DF7671">
        <w:trPr>
          <w:jc w:val="center"/>
        </w:trPr>
        <w:tc>
          <w:tcPr>
            <w:tcW w:w="445" w:type="dxa"/>
          </w:tcPr>
          <w:p w14:paraId="0D6FE912" w14:textId="77777777" w:rsidR="00D35E36" w:rsidRPr="00EA175D" w:rsidRDefault="00D35E36" w:rsidP="00EA175D">
            <w:pPr>
              <w:spacing w:line="360" w:lineRule="auto"/>
              <w:jc w:val="both"/>
            </w:pPr>
          </w:p>
        </w:tc>
        <w:tc>
          <w:tcPr>
            <w:tcW w:w="2924" w:type="dxa"/>
          </w:tcPr>
          <w:p w14:paraId="194D1FFF" w14:textId="77777777" w:rsidR="00D35E36" w:rsidRPr="00EA175D" w:rsidRDefault="00D35E36" w:rsidP="00EA175D">
            <w:pPr>
              <w:spacing w:line="360" w:lineRule="auto"/>
              <w:ind w:hanging="19"/>
              <w:jc w:val="both"/>
              <w:rPr>
                <w:b/>
                <w:bCs/>
              </w:rPr>
            </w:pPr>
            <w:r w:rsidRPr="00EA175D">
              <w:rPr>
                <w:b/>
                <w:bCs/>
              </w:rPr>
              <w:t>ЕСИФ</w:t>
            </w:r>
          </w:p>
        </w:tc>
        <w:tc>
          <w:tcPr>
            <w:tcW w:w="5919" w:type="dxa"/>
          </w:tcPr>
          <w:p w14:paraId="3ED145EA" w14:textId="09FD8486" w:rsidR="00D35E36" w:rsidRPr="00EA175D" w:rsidRDefault="0087203F" w:rsidP="00EA175D">
            <w:pPr>
              <w:spacing w:line="360" w:lineRule="auto"/>
              <w:jc w:val="both"/>
            </w:pPr>
            <w:r w:rsidRPr="00EA175D">
              <w:t>ЕВРОПЕЙСКИ СТРУКТУРНИ И ИНВЕСТИЦИОННИ ФОНДОВЕ</w:t>
            </w:r>
          </w:p>
        </w:tc>
      </w:tr>
      <w:tr w:rsidR="00D35E36" w:rsidRPr="00EA175D" w14:paraId="451286E2" w14:textId="77777777" w:rsidTr="00DF7671">
        <w:trPr>
          <w:jc w:val="center"/>
        </w:trPr>
        <w:tc>
          <w:tcPr>
            <w:tcW w:w="445" w:type="dxa"/>
          </w:tcPr>
          <w:p w14:paraId="650D4B73" w14:textId="77777777" w:rsidR="00D35E36" w:rsidRPr="00EA175D" w:rsidRDefault="00D35E36" w:rsidP="00EA175D">
            <w:pPr>
              <w:spacing w:line="360" w:lineRule="auto"/>
              <w:jc w:val="both"/>
            </w:pPr>
          </w:p>
        </w:tc>
        <w:tc>
          <w:tcPr>
            <w:tcW w:w="2924" w:type="dxa"/>
          </w:tcPr>
          <w:p w14:paraId="4A147848" w14:textId="77777777" w:rsidR="00D35E36" w:rsidRPr="00EA175D" w:rsidRDefault="00D35E36" w:rsidP="00EA175D">
            <w:pPr>
              <w:spacing w:line="360" w:lineRule="auto"/>
              <w:ind w:hanging="19"/>
              <w:jc w:val="both"/>
              <w:rPr>
                <w:b/>
                <w:bCs/>
              </w:rPr>
            </w:pPr>
            <w:r w:rsidRPr="00EA175D">
              <w:rPr>
                <w:b/>
                <w:bCs/>
              </w:rPr>
              <w:t>ИА ОПНОИР</w:t>
            </w:r>
          </w:p>
        </w:tc>
        <w:tc>
          <w:tcPr>
            <w:tcW w:w="5919" w:type="dxa"/>
          </w:tcPr>
          <w:p w14:paraId="0E574584" w14:textId="77777777" w:rsidR="00D35E36" w:rsidRPr="00EA175D" w:rsidRDefault="00D35E36" w:rsidP="00EA175D">
            <w:pPr>
              <w:spacing w:line="360" w:lineRule="auto"/>
              <w:jc w:val="both"/>
            </w:pPr>
            <w:r w:rsidRPr="00EA175D">
              <w:t>ИЗПЪЛНИТЕЛНА АГЕНЦИЯ ОПЕРАТИВНА ПРОГРАМА НАУКА И ОБРАЗОВАНИЕ ЗА ИНТЕЛИГЕНТЕН РАСТЕЖ</w:t>
            </w:r>
          </w:p>
        </w:tc>
      </w:tr>
      <w:tr w:rsidR="00D35E36" w:rsidRPr="00EA175D" w14:paraId="5023D1A7" w14:textId="77777777" w:rsidTr="00DF7671">
        <w:trPr>
          <w:jc w:val="center"/>
        </w:trPr>
        <w:tc>
          <w:tcPr>
            <w:tcW w:w="445" w:type="dxa"/>
          </w:tcPr>
          <w:p w14:paraId="72CD7333" w14:textId="77777777" w:rsidR="00D35E36" w:rsidRPr="00EA175D" w:rsidRDefault="00D35E36" w:rsidP="00EA175D">
            <w:pPr>
              <w:spacing w:line="360" w:lineRule="auto"/>
              <w:jc w:val="both"/>
            </w:pPr>
          </w:p>
        </w:tc>
        <w:tc>
          <w:tcPr>
            <w:tcW w:w="2924" w:type="dxa"/>
          </w:tcPr>
          <w:p w14:paraId="4EC96955" w14:textId="77777777" w:rsidR="00D35E36" w:rsidRPr="00EA175D" w:rsidRDefault="00D35E36" w:rsidP="00EA175D">
            <w:pPr>
              <w:spacing w:line="360" w:lineRule="auto"/>
              <w:ind w:hanging="19"/>
              <w:jc w:val="both"/>
              <w:rPr>
                <w:b/>
                <w:bCs/>
              </w:rPr>
            </w:pPr>
            <w:r w:rsidRPr="00EA175D">
              <w:rPr>
                <w:b/>
                <w:bCs/>
              </w:rPr>
              <w:t>ИСУН</w:t>
            </w:r>
          </w:p>
        </w:tc>
        <w:tc>
          <w:tcPr>
            <w:tcW w:w="5919" w:type="dxa"/>
          </w:tcPr>
          <w:p w14:paraId="1FDABAD2" w14:textId="77777777" w:rsidR="00D35E36" w:rsidRPr="00EA175D" w:rsidRDefault="00D35E36" w:rsidP="00EA175D">
            <w:pPr>
              <w:spacing w:line="360" w:lineRule="auto"/>
              <w:jc w:val="both"/>
            </w:pPr>
            <w:r w:rsidRPr="00EA175D">
              <w:t>ИНФОРМАЦИОННА СИСТЕМА</w:t>
            </w:r>
          </w:p>
          <w:p w14:paraId="253DD512" w14:textId="77777777" w:rsidR="00D35E36" w:rsidRPr="00EA175D" w:rsidRDefault="00D35E36" w:rsidP="00EA175D">
            <w:pPr>
              <w:spacing w:line="360" w:lineRule="auto"/>
              <w:jc w:val="both"/>
            </w:pPr>
            <w:r w:rsidRPr="00EA175D">
              <w:t>ЗА УПРАВЛЕНИЕ И НАБЛЮДЕНИЕ</w:t>
            </w:r>
          </w:p>
        </w:tc>
      </w:tr>
      <w:tr w:rsidR="00D35E36" w:rsidRPr="00EA175D" w14:paraId="6253DB5C" w14:textId="77777777" w:rsidTr="00DF7671">
        <w:trPr>
          <w:jc w:val="center"/>
        </w:trPr>
        <w:tc>
          <w:tcPr>
            <w:tcW w:w="445" w:type="dxa"/>
          </w:tcPr>
          <w:p w14:paraId="092EE3C4" w14:textId="77777777" w:rsidR="00D35E36" w:rsidRPr="00EA175D" w:rsidRDefault="00D35E36" w:rsidP="00EA175D">
            <w:pPr>
              <w:spacing w:line="360" w:lineRule="auto"/>
              <w:jc w:val="both"/>
            </w:pPr>
          </w:p>
        </w:tc>
        <w:tc>
          <w:tcPr>
            <w:tcW w:w="2924" w:type="dxa"/>
          </w:tcPr>
          <w:p w14:paraId="66E47F7D" w14:textId="77777777" w:rsidR="00D35E36" w:rsidRPr="00EA175D" w:rsidRDefault="00D35E36" w:rsidP="00EA175D">
            <w:pPr>
              <w:spacing w:line="360" w:lineRule="auto"/>
              <w:ind w:hanging="19"/>
              <w:jc w:val="both"/>
              <w:rPr>
                <w:b/>
                <w:bCs/>
              </w:rPr>
            </w:pPr>
            <w:r w:rsidRPr="00EA175D">
              <w:rPr>
                <w:b/>
                <w:bCs/>
              </w:rPr>
              <w:t>МЗХГ</w:t>
            </w:r>
          </w:p>
        </w:tc>
        <w:tc>
          <w:tcPr>
            <w:tcW w:w="5919" w:type="dxa"/>
          </w:tcPr>
          <w:p w14:paraId="66FBBB78" w14:textId="094F29DA" w:rsidR="00D35E36" w:rsidRPr="00EA175D" w:rsidRDefault="0087203F" w:rsidP="00EA175D">
            <w:pPr>
              <w:spacing w:line="360" w:lineRule="auto"/>
              <w:jc w:val="both"/>
            </w:pPr>
            <w:r w:rsidRPr="00EA175D">
              <w:t>МИНИСТЕРСТВО НА ЗЕМЕДЕЛИЕТО ХРАНИТЕ И ГОРИТЕ</w:t>
            </w:r>
          </w:p>
        </w:tc>
      </w:tr>
      <w:tr w:rsidR="00D35E36" w:rsidRPr="00EA175D" w14:paraId="3461C562" w14:textId="77777777" w:rsidTr="00DF7671">
        <w:trPr>
          <w:jc w:val="center"/>
        </w:trPr>
        <w:tc>
          <w:tcPr>
            <w:tcW w:w="445" w:type="dxa"/>
          </w:tcPr>
          <w:p w14:paraId="4613406C" w14:textId="77777777" w:rsidR="00D35E36" w:rsidRPr="00EA175D" w:rsidRDefault="00D35E36" w:rsidP="00EA175D">
            <w:pPr>
              <w:spacing w:line="360" w:lineRule="auto"/>
              <w:jc w:val="both"/>
            </w:pPr>
          </w:p>
        </w:tc>
        <w:tc>
          <w:tcPr>
            <w:tcW w:w="2924" w:type="dxa"/>
          </w:tcPr>
          <w:p w14:paraId="6B9B4D91" w14:textId="77777777" w:rsidR="00D35E36" w:rsidRPr="00EA175D" w:rsidRDefault="00D35E36" w:rsidP="00EA175D">
            <w:pPr>
              <w:spacing w:line="360" w:lineRule="auto"/>
              <w:ind w:hanging="19"/>
              <w:jc w:val="both"/>
              <w:rPr>
                <w:b/>
                <w:bCs/>
              </w:rPr>
            </w:pPr>
            <w:r w:rsidRPr="00EA175D">
              <w:rPr>
                <w:b/>
                <w:bCs/>
              </w:rPr>
              <w:t>МИГ</w:t>
            </w:r>
          </w:p>
        </w:tc>
        <w:tc>
          <w:tcPr>
            <w:tcW w:w="5919" w:type="dxa"/>
          </w:tcPr>
          <w:p w14:paraId="3FFBA7D1" w14:textId="623AC176" w:rsidR="00D35E36" w:rsidRPr="00EA175D" w:rsidRDefault="0087203F" w:rsidP="00EA175D">
            <w:pPr>
              <w:spacing w:line="360" w:lineRule="auto"/>
              <w:jc w:val="both"/>
            </w:pPr>
            <w:r w:rsidRPr="00EA175D">
              <w:t>МЕСТНА ИНИЦИАТИВНА ГРУПА</w:t>
            </w:r>
          </w:p>
        </w:tc>
      </w:tr>
      <w:tr w:rsidR="00D35E36" w:rsidRPr="00EA175D" w14:paraId="5A5A531B" w14:textId="77777777" w:rsidTr="00DF7671">
        <w:trPr>
          <w:jc w:val="center"/>
        </w:trPr>
        <w:tc>
          <w:tcPr>
            <w:tcW w:w="445" w:type="dxa"/>
          </w:tcPr>
          <w:p w14:paraId="25DE0CE1" w14:textId="77777777" w:rsidR="00D35E36" w:rsidRPr="00EA175D" w:rsidRDefault="00D35E36" w:rsidP="00EA175D">
            <w:pPr>
              <w:spacing w:line="360" w:lineRule="auto"/>
              <w:jc w:val="both"/>
            </w:pPr>
          </w:p>
        </w:tc>
        <w:tc>
          <w:tcPr>
            <w:tcW w:w="2924" w:type="dxa"/>
          </w:tcPr>
          <w:p w14:paraId="52A0EA21" w14:textId="77777777" w:rsidR="00D35E36" w:rsidRPr="00EA175D" w:rsidRDefault="00D35E36" w:rsidP="00EA175D">
            <w:pPr>
              <w:spacing w:line="360" w:lineRule="auto"/>
              <w:ind w:hanging="19"/>
              <w:jc w:val="both"/>
              <w:rPr>
                <w:b/>
                <w:bCs/>
              </w:rPr>
            </w:pPr>
            <w:r w:rsidRPr="00EA175D">
              <w:rPr>
                <w:b/>
                <w:bCs/>
              </w:rPr>
              <w:t>ОПИК</w:t>
            </w:r>
          </w:p>
        </w:tc>
        <w:tc>
          <w:tcPr>
            <w:tcW w:w="5919" w:type="dxa"/>
          </w:tcPr>
          <w:p w14:paraId="0242DE64" w14:textId="2091D459" w:rsidR="00D35E36" w:rsidRPr="00EA175D" w:rsidRDefault="0087203F" w:rsidP="00EA175D">
            <w:pPr>
              <w:spacing w:line="360" w:lineRule="auto"/>
              <w:jc w:val="both"/>
            </w:pPr>
            <w:r w:rsidRPr="00EA175D">
              <w:t>ОПЕРАТИВНА ПРОГРАМА ИНОВАЦИИ И КОНКУРЕНТОСПОСОБНОСТ</w:t>
            </w:r>
          </w:p>
        </w:tc>
      </w:tr>
      <w:tr w:rsidR="00D35E36" w:rsidRPr="00EA175D" w14:paraId="7D2CF106" w14:textId="77777777" w:rsidTr="00DF7671">
        <w:trPr>
          <w:jc w:val="center"/>
        </w:trPr>
        <w:tc>
          <w:tcPr>
            <w:tcW w:w="445" w:type="dxa"/>
          </w:tcPr>
          <w:p w14:paraId="5633162A" w14:textId="77777777" w:rsidR="00D35E36" w:rsidRPr="00EA175D" w:rsidRDefault="00D35E36" w:rsidP="00EA175D">
            <w:pPr>
              <w:spacing w:line="360" w:lineRule="auto"/>
              <w:jc w:val="both"/>
            </w:pPr>
          </w:p>
        </w:tc>
        <w:tc>
          <w:tcPr>
            <w:tcW w:w="2924" w:type="dxa"/>
          </w:tcPr>
          <w:p w14:paraId="00E6348F" w14:textId="77777777" w:rsidR="00D35E36" w:rsidRPr="00EA175D" w:rsidRDefault="00D35E36" w:rsidP="00EA175D">
            <w:pPr>
              <w:spacing w:line="360" w:lineRule="auto"/>
              <w:ind w:hanging="19"/>
              <w:jc w:val="both"/>
              <w:rPr>
                <w:b/>
                <w:bCs/>
              </w:rPr>
            </w:pPr>
            <w:r w:rsidRPr="00EA175D">
              <w:rPr>
                <w:b/>
                <w:bCs/>
              </w:rPr>
              <w:t>ОПНОИР</w:t>
            </w:r>
          </w:p>
        </w:tc>
        <w:tc>
          <w:tcPr>
            <w:tcW w:w="5919" w:type="dxa"/>
          </w:tcPr>
          <w:p w14:paraId="1A7B09A0" w14:textId="77777777" w:rsidR="00D35E36" w:rsidRPr="00EA175D" w:rsidRDefault="00D35E36" w:rsidP="00EA175D">
            <w:pPr>
              <w:spacing w:line="360" w:lineRule="auto"/>
              <w:jc w:val="both"/>
            </w:pPr>
            <w:r w:rsidRPr="00EA175D">
              <w:t>ОПЕРАТИВНА ПРОГРАМА НАУКА И ОБРАЗОВАНИЕ ЗА ИНТЕЛИГЕНТЕН РАСТЕЖ</w:t>
            </w:r>
          </w:p>
        </w:tc>
      </w:tr>
      <w:tr w:rsidR="00D35E36" w:rsidRPr="00EA175D" w14:paraId="4C5C5FA3" w14:textId="77777777" w:rsidTr="00DF7671">
        <w:trPr>
          <w:jc w:val="center"/>
        </w:trPr>
        <w:tc>
          <w:tcPr>
            <w:tcW w:w="445" w:type="dxa"/>
          </w:tcPr>
          <w:p w14:paraId="40277DD6" w14:textId="77777777" w:rsidR="00D35E36" w:rsidRPr="00EA175D" w:rsidRDefault="00D35E36" w:rsidP="00EA175D">
            <w:pPr>
              <w:spacing w:line="360" w:lineRule="auto"/>
              <w:jc w:val="both"/>
            </w:pPr>
          </w:p>
        </w:tc>
        <w:tc>
          <w:tcPr>
            <w:tcW w:w="2924" w:type="dxa"/>
          </w:tcPr>
          <w:p w14:paraId="46134658" w14:textId="77777777" w:rsidR="00D35E36" w:rsidRPr="00EA175D" w:rsidRDefault="00D35E36" w:rsidP="00EA175D">
            <w:pPr>
              <w:spacing w:line="360" w:lineRule="auto"/>
              <w:ind w:hanging="19"/>
              <w:jc w:val="both"/>
              <w:rPr>
                <w:b/>
                <w:bCs/>
              </w:rPr>
            </w:pPr>
            <w:r w:rsidRPr="00EA175D">
              <w:rPr>
                <w:b/>
                <w:bCs/>
              </w:rPr>
              <w:t>ОПОС</w:t>
            </w:r>
          </w:p>
        </w:tc>
        <w:tc>
          <w:tcPr>
            <w:tcW w:w="5919" w:type="dxa"/>
          </w:tcPr>
          <w:p w14:paraId="6C7E825F" w14:textId="77777777" w:rsidR="00D35E36" w:rsidRPr="00EA175D" w:rsidRDefault="00D35E36" w:rsidP="00EA175D">
            <w:pPr>
              <w:spacing w:line="360" w:lineRule="auto"/>
              <w:jc w:val="both"/>
            </w:pPr>
            <w:r w:rsidRPr="00EA175D">
              <w:t>ОПЕРАТИВНА ПРОГРАМА ОКОЛНА СРЕДА</w:t>
            </w:r>
          </w:p>
        </w:tc>
      </w:tr>
      <w:tr w:rsidR="00D35E36" w:rsidRPr="00EA175D" w14:paraId="0FBE0DA8" w14:textId="77777777" w:rsidTr="00DF7671">
        <w:trPr>
          <w:jc w:val="center"/>
        </w:trPr>
        <w:tc>
          <w:tcPr>
            <w:tcW w:w="445" w:type="dxa"/>
          </w:tcPr>
          <w:p w14:paraId="0ECDC410" w14:textId="77777777" w:rsidR="00D35E36" w:rsidRPr="00EA175D" w:rsidRDefault="00D35E36" w:rsidP="00EA175D">
            <w:pPr>
              <w:spacing w:line="360" w:lineRule="auto"/>
              <w:jc w:val="both"/>
            </w:pPr>
          </w:p>
        </w:tc>
        <w:tc>
          <w:tcPr>
            <w:tcW w:w="2924" w:type="dxa"/>
          </w:tcPr>
          <w:p w14:paraId="06E7571C" w14:textId="77777777" w:rsidR="00D35E36" w:rsidRPr="00EA175D" w:rsidRDefault="00D35E36" w:rsidP="00EA175D">
            <w:pPr>
              <w:spacing w:line="360" w:lineRule="auto"/>
              <w:ind w:hanging="19"/>
              <w:jc w:val="both"/>
              <w:rPr>
                <w:b/>
                <w:bCs/>
              </w:rPr>
            </w:pPr>
            <w:r w:rsidRPr="00EA175D">
              <w:rPr>
                <w:b/>
                <w:bCs/>
              </w:rPr>
              <w:t>ОПРЧР</w:t>
            </w:r>
          </w:p>
        </w:tc>
        <w:tc>
          <w:tcPr>
            <w:tcW w:w="5919" w:type="dxa"/>
          </w:tcPr>
          <w:p w14:paraId="7405709C" w14:textId="77777777" w:rsidR="00D35E36" w:rsidRPr="00EA175D" w:rsidRDefault="00D35E36" w:rsidP="00EA175D">
            <w:pPr>
              <w:spacing w:line="360" w:lineRule="auto"/>
              <w:jc w:val="both"/>
            </w:pPr>
            <w:r w:rsidRPr="00EA175D">
              <w:t>ОПЕРАТИВНА ПРОГРАМА РАЗВИТИЕ НА ЧОВЕШКИТЕ РЕСУРСИ</w:t>
            </w:r>
          </w:p>
        </w:tc>
      </w:tr>
      <w:tr w:rsidR="00D35E36" w:rsidRPr="00EA175D" w14:paraId="624608C7" w14:textId="77777777" w:rsidTr="00DF7671">
        <w:trPr>
          <w:jc w:val="center"/>
        </w:trPr>
        <w:tc>
          <w:tcPr>
            <w:tcW w:w="445" w:type="dxa"/>
          </w:tcPr>
          <w:p w14:paraId="091E989D" w14:textId="77777777" w:rsidR="00D35E36" w:rsidRPr="00EA175D" w:rsidRDefault="00D35E36" w:rsidP="00EA175D">
            <w:pPr>
              <w:spacing w:line="360" w:lineRule="auto"/>
              <w:jc w:val="both"/>
            </w:pPr>
          </w:p>
        </w:tc>
        <w:tc>
          <w:tcPr>
            <w:tcW w:w="2924" w:type="dxa"/>
          </w:tcPr>
          <w:p w14:paraId="75D16373" w14:textId="77777777" w:rsidR="00D35E36" w:rsidRPr="00EA175D" w:rsidRDefault="00D35E36" w:rsidP="00EA175D">
            <w:pPr>
              <w:spacing w:line="360" w:lineRule="auto"/>
              <w:ind w:hanging="19"/>
              <w:jc w:val="both"/>
              <w:rPr>
                <w:b/>
                <w:bCs/>
              </w:rPr>
            </w:pPr>
            <w:r w:rsidRPr="00EA175D">
              <w:rPr>
                <w:b/>
                <w:bCs/>
              </w:rPr>
              <w:t>ПРСР</w:t>
            </w:r>
          </w:p>
        </w:tc>
        <w:tc>
          <w:tcPr>
            <w:tcW w:w="5919" w:type="dxa"/>
          </w:tcPr>
          <w:p w14:paraId="7CE11741" w14:textId="77777777" w:rsidR="00D35E36" w:rsidRPr="00EA175D" w:rsidRDefault="00D35E36" w:rsidP="00EA175D">
            <w:pPr>
              <w:spacing w:line="360" w:lineRule="auto"/>
              <w:jc w:val="both"/>
            </w:pPr>
            <w:r w:rsidRPr="00EA175D">
              <w:t>ПРОГРАМА ЗА РАЗВИТИЕ НА СЕЛСКИТЕ РАЙОНИ</w:t>
            </w:r>
          </w:p>
        </w:tc>
      </w:tr>
      <w:tr w:rsidR="00D35E36" w:rsidRPr="00EA175D" w14:paraId="2302EF91" w14:textId="77777777" w:rsidTr="00DF7671">
        <w:trPr>
          <w:jc w:val="center"/>
        </w:trPr>
        <w:tc>
          <w:tcPr>
            <w:tcW w:w="445" w:type="dxa"/>
          </w:tcPr>
          <w:p w14:paraId="33CBB759" w14:textId="77777777" w:rsidR="00D35E36" w:rsidRPr="00EA175D" w:rsidRDefault="00D35E36" w:rsidP="00EA175D">
            <w:pPr>
              <w:spacing w:line="360" w:lineRule="auto"/>
              <w:jc w:val="both"/>
            </w:pPr>
          </w:p>
        </w:tc>
        <w:tc>
          <w:tcPr>
            <w:tcW w:w="2924" w:type="dxa"/>
          </w:tcPr>
          <w:p w14:paraId="2945B13E" w14:textId="77777777" w:rsidR="00D35E36" w:rsidRPr="00EA175D" w:rsidRDefault="00D35E36" w:rsidP="00EA175D">
            <w:pPr>
              <w:spacing w:line="360" w:lineRule="auto"/>
              <w:ind w:hanging="19"/>
              <w:jc w:val="both"/>
              <w:rPr>
                <w:b/>
                <w:bCs/>
              </w:rPr>
            </w:pPr>
            <w:r w:rsidRPr="00EA175D">
              <w:rPr>
                <w:b/>
                <w:bCs/>
              </w:rPr>
              <w:t>УО</w:t>
            </w:r>
          </w:p>
        </w:tc>
        <w:tc>
          <w:tcPr>
            <w:tcW w:w="5919" w:type="dxa"/>
          </w:tcPr>
          <w:p w14:paraId="71AD5E2E" w14:textId="77777777" w:rsidR="00D35E36" w:rsidRPr="00EA175D" w:rsidRDefault="00D35E36" w:rsidP="00EA175D">
            <w:pPr>
              <w:spacing w:line="360" w:lineRule="auto"/>
              <w:jc w:val="both"/>
            </w:pPr>
            <w:r w:rsidRPr="00EA175D">
              <w:t>УПРАВЛЯВАЩ ОРГАН</w:t>
            </w:r>
          </w:p>
        </w:tc>
      </w:tr>
    </w:tbl>
    <w:p w14:paraId="29CA57DA" w14:textId="77777777" w:rsidR="00555114" w:rsidRPr="00EA175D" w:rsidRDefault="00555114" w:rsidP="00EA175D">
      <w:pPr>
        <w:spacing w:line="360" w:lineRule="auto"/>
        <w:ind w:firstLine="567"/>
        <w:jc w:val="both"/>
      </w:pPr>
    </w:p>
    <w:p w14:paraId="4A381F54" w14:textId="77777777" w:rsidR="00305180" w:rsidRPr="00EA175D" w:rsidRDefault="009B53B3" w:rsidP="00EA175D">
      <w:pPr>
        <w:pStyle w:val="1"/>
        <w:numPr>
          <w:ilvl w:val="0"/>
          <w:numId w:val="1"/>
        </w:numPr>
        <w:tabs>
          <w:tab w:val="left" w:pos="993"/>
        </w:tabs>
        <w:spacing w:line="360" w:lineRule="auto"/>
        <w:ind w:left="0" w:firstLine="567"/>
        <w:jc w:val="both"/>
        <w:rPr>
          <w:rFonts w:ascii="Times New Roman" w:hAnsi="Times New Roman" w:cs="Times New Roman"/>
          <w:color w:val="auto"/>
          <w:sz w:val="24"/>
          <w:szCs w:val="24"/>
        </w:rPr>
      </w:pPr>
      <w:bookmarkStart w:id="2" w:name="_Toc93489766"/>
      <w:r w:rsidRPr="00EA175D">
        <w:rPr>
          <w:rFonts w:ascii="Times New Roman" w:hAnsi="Times New Roman" w:cs="Times New Roman"/>
          <w:color w:val="auto"/>
          <w:sz w:val="24"/>
          <w:szCs w:val="24"/>
        </w:rPr>
        <w:lastRenderedPageBreak/>
        <w:t>Обща информация</w:t>
      </w:r>
      <w:bookmarkEnd w:id="2"/>
    </w:p>
    <w:p w14:paraId="0EB13E18" w14:textId="123201FD" w:rsidR="004A2CE6" w:rsidRPr="00EA175D" w:rsidRDefault="0009106A" w:rsidP="00EA175D">
      <w:pPr>
        <w:spacing w:line="360" w:lineRule="auto"/>
        <w:ind w:firstLine="720"/>
        <w:jc w:val="both"/>
      </w:pPr>
      <w:r w:rsidRPr="00EA175D">
        <w:t>Настоящото проучване се извършва в изпълнение на договор № РД 51-97</w:t>
      </w:r>
      <w:r w:rsidRPr="00F77584">
        <w:rPr>
          <w:lang w:val="ru-RU"/>
        </w:rPr>
        <w:t>/</w:t>
      </w:r>
      <w:r w:rsidRPr="00EA175D">
        <w:t xml:space="preserve">07.09.2021 г. </w:t>
      </w:r>
      <w:r w:rsidR="00CD5ED7" w:rsidRPr="00EA175D">
        <w:t xml:space="preserve">за изпълнение на обществена поръчка за „Текуща оценка на подхода ЛИДЕР и подхода ВОМР от ПРСР (2014 – 2020 г.) до 2020 г.“, сключен между Министерството на земеделието, храните и горите (Възложител) и „Интелект консулт плюс – ЦМ“ ЕООД (Изпълнител). </w:t>
      </w:r>
      <w:r w:rsidR="004A2CE6" w:rsidRPr="00F77584">
        <w:rPr>
          <w:lang w:val="ru-RU"/>
        </w:rPr>
        <w:t xml:space="preserve"> </w:t>
      </w:r>
      <w:bookmarkStart w:id="3" w:name="_Hlk89679387"/>
      <w:r w:rsidR="004A2CE6" w:rsidRPr="00EA175D">
        <w:t>Проучването се отнася до  текущата оценка на подхода ЛИДЕР и подхода ВОМР  (еднофондово и многофондово финансиране) от ПРСР за периода от 2015 до 31.12.2020 г.</w:t>
      </w:r>
    </w:p>
    <w:p w14:paraId="40A7E740" w14:textId="77777777" w:rsidR="004A2CE6" w:rsidRPr="00EA175D" w:rsidRDefault="004A2CE6" w:rsidP="00EA175D">
      <w:pPr>
        <w:spacing w:line="360" w:lineRule="auto"/>
        <w:jc w:val="both"/>
      </w:pPr>
      <w:r w:rsidRPr="00EA175D">
        <w:t xml:space="preserve">Целта на оценката е да се подпомогне Управляващият орган на ПРСР, който е и отговорен Управляващ орган на подхода, Управляващите органи на финансиращите програми (Оперативна програма „Иновации и конкурентоспособност“, Оперативна програма „Развитие на човешките ресурси“, Оперативна програма „Околна среда“, Оперативна програма „Наука и образование за интелигентен растеж“), местните  инициативни  групи  (МИГ) и бенефициентите да използват оптимално ресурсите на подхода за отговаряне на нуждите на местните региони и на местното население. </w:t>
      </w:r>
    </w:p>
    <w:p w14:paraId="045F5580" w14:textId="77777777" w:rsidR="004A2CE6" w:rsidRPr="00EA175D" w:rsidRDefault="004A2CE6" w:rsidP="00EA175D">
      <w:pPr>
        <w:spacing w:line="360" w:lineRule="auto"/>
        <w:jc w:val="both"/>
      </w:pPr>
      <w:r w:rsidRPr="00EA175D">
        <w:t>Оценката ще се използва от Управляващия орган на ПРСР (2014-2020 г.) за:</w:t>
      </w:r>
    </w:p>
    <w:p w14:paraId="585FBB68" w14:textId="77777777" w:rsidR="004A2CE6" w:rsidRPr="00EA175D" w:rsidRDefault="004A2CE6" w:rsidP="00EA175D">
      <w:pPr>
        <w:spacing w:line="360" w:lineRule="auto"/>
        <w:jc w:val="both"/>
      </w:pPr>
      <w:r w:rsidRPr="00EA175D">
        <w:t>-проверка на напредъка на подхода ЛИДЕР и подхода ВОМР от ПРСР по отношение на постигане на целите на базата на икономически показатели за оценка на резултатите включително и на показатели за въздействие на Програмата;</w:t>
      </w:r>
    </w:p>
    <w:p w14:paraId="6BA56F8D" w14:textId="3EA5048B" w:rsidR="004A2CE6" w:rsidRPr="00EA175D" w:rsidRDefault="004A2CE6" w:rsidP="00EA175D">
      <w:pPr>
        <w:spacing w:line="360" w:lineRule="auto"/>
        <w:jc w:val="both"/>
      </w:pPr>
      <w:r w:rsidRPr="00EA175D">
        <w:t>-Оптимизиране на прилагането на подхода ЛИДЕР и подхода ВОМР в полза на местните общности</w:t>
      </w:r>
      <w:r w:rsidR="00EE2653" w:rsidRPr="00F77584">
        <w:rPr>
          <w:lang w:val="ru-RU"/>
        </w:rPr>
        <w:t>.</w:t>
      </w:r>
    </w:p>
    <w:p w14:paraId="6616AF88" w14:textId="395A3E8B" w:rsidR="00646BD0" w:rsidRPr="00EA175D" w:rsidRDefault="004A2CE6" w:rsidP="00EA175D">
      <w:pPr>
        <w:spacing w:line="360" w:lineRule="auto"/>
        <w:jc w:val="both"/>
      </w:pPr>
      <w:r w:rsidRPr="00EA175D">
        <w:t>При необходимост, предприемане на действия за измерване на промени в структурата на прилагане на подхода ЛИДЕР и подхода ВОМР.</w:t>
      </w:r>
      <w:bookmarkEnd w:id="3"/>
    </w:p>
    <w:p w14:paraId="5EC5E867" w14:textId="276A62D3" w:rsidR="002E3B52" w:rsidRPr="00EA175D" w:rsidRDefault="002E3B52" w:rsidP="00EA175D">
      <w:pPr>
        <w:spacing w:line="360" w:lineRule="auto"/>
        <w:ind w:firstLine="567"/>
        <w:jc w:val="both"/>
      </w:pPr>
      <w:r w:rsidRPr="00EA175D">
        <w:t>Текущата оценка на еднофондовото и многофондово финансиране на подхода Л</w:t>
      </w:r>
      <w:r w:rsidR="003C58FE">
        <w:t>И</w:t>
      </w:r>
      <w:r w:rsidRPr="00EA175D">
        <w:t>ДЕР</w:t>
      </w:r>
      <w:r w:rsidR="00165A99">
        <w:t>/</w:t>
      </w:r>
      <w:r w:rsidRPr="00EA175D">
        <w:t>ВОМР ще обхване изпълнението на следните общи задачи:</w:t>
      </w:r>
    </w:p>
    <w:p w14:paraId="45851B26" w14:textId="4900CB1E" w:rsidR="002E3B52" w:rsidRPr="00EA175D" w:rsidRDefault="002E3B52" w:rsidP="00EA175D">
      <w:pPr>
        <w:spacing w:line="360" w:lineRule="auto"/>
        <w:ind w:firstLine="567"/>
        <w:jc w:val="both"/>
      </w:pPr>
      <w:r w:rsidRPr="00EA175D">
        <w:t xml:space="preserve">1.Анализ на прилагането на подхода ВОМР по отношение на приноса за реализиране на конкретните политики в рамките на подхода ЛИДЕР  и на подхода ВОМР, като ще се включат дейностите: </w:t>
      </w:r>
    </w:p>
    <w:p w14:paraId="1E6F515B" w14:textId="77777777" w:rsidR="002E3B52" w:rsidRPr="00EA175D" w:rsidRDefault="002E3B52" w:rsidP="00EA175D">
      <w:pPr>
        <w:spacing w:line="360" w:lineRule="auto"/>
        <w:ind w:firstLine="567"/>
        <w:jc w:val="both"/>
      </w:pPr>
      <w:r w:rsidRPr="00EA175D">
        <w:t>- планиране и изпълнение на стратегиите за местно развитие от МИГ;</w:t>
      </w:r>
    </w:p>
    <w:p w14:paraId="2F90CDA7" w14:textId="4D2698C2" w:rsidR="002E3B52" w:rsidRPr="00EA175D" w:rsidRDefault="002E3B52" w:rsidP="00EA175D">
      <w:pPr>
        <w:spacing w:line="360" w:lineRule="auto"/>
        <w:ind w:firstLine="567"/>
        <w:jc w:val="both"/>
      </w:pPr>
      <w:r w:rsidRPr="00EA175D">
        <w:lastRenderedPageBreak/>
        <w:t>- оценка на устойчивостта на стратегиите за подхода ЛИДЕР  и на подхода ВОМР- промени в стратегиите, причини и резултати</w:t>
      </w:r>
      <w:r w:rsidR="00EE2653">
        <w:t>;</w:t>
      </w:r>
    </w:p>
    <w:p w14:paraId="612E3EFB" w14:textId="3468BFD6" w:rsidR="002E3B52" w:rsidRPr="00EA175D" w:rsidRDefault="002E3B52" w:rsidP="00EA175D">
      <w:pPr>
        <w:spacing w:line="360" w:lineRule="auto"/>
        <w:ind w:firstLine="567"/>
        <w:jc w:val="both"/>
      </w:pPr>
      <w:r w:rsidRPr="00EA175D">
        <w:t>- анализ и оценка на МИГ-</w:t>
      </w:r>
      <w:r w:rsidR="00EE2653">
        <w:t>о</w:t>
      </w:r>
      <w:r w:rsidRPr="00EA175D">
        <w:t>вете в съответствие с прилагането на подхода ЛИДЕР и подхода ВОМР</w:t>
      </w:r>
      <w:r w:rsidR="00EE2653">
        <w:t>;</w:t>
      </w:r>
    </w:p>
    <w:p w14:paraId="46330FAE" w14:textId="63457370" w:rsidR="002E3B52" w:rsidRPr="00EA175D" w:rsidRDefault="002E3B52" w:rsidP="00EA175D">
      <w:pPr>
        <w:spacing w:line="360" w:lineRule="auto"/>
        <w:ind w:firstLine="567"/>
        <w:jc w:val="both"/>
      </w:pPr>
      <w:r w:rsidRPr="00EA175D">
        <w:t>- оценка на нивото на постигане на общи индикатори за изпълнение на   стратегиите и индикаторите по мерките на стратегиите на подхода Л</w:t>
      </w:r>
      <w:r w:rsidR="00CE60AB">
        <w:t>И</w:t>
      </w:r>
      <w:r w:rsidRPr="00EA175D">
        <w:t xml:space="preserve">ДЕР </w:t>
      </w:r>
      <w:r w:rsidR="00EE2653">
        <w:t>и</w:t>
      </w:r>
      <w:r w:rsidRPr="00EA175D">
        <w:t xml:space="preserve"> подхода ВОМР;</w:t>
      </w:r>
    </w:p>
    <w:p w14:paraId="2FED60A7" w14:textId="77777777" w:rsidR="002E3B52" w:rsidRPr="00EA175D" w:rsidRDefault="002E3B52" w:rsidP="00EA175D">
      <w:pPr>
        <w:spacing w:line="360" w:lineRule="auto"/>
        <w:ind w:firstLine="567"/>
        <w:jc w:val="both"/>
      </w:pPr>
      <w:r w:rsidRPr="00EA175D">
        <w:t>- Анализ и оценка на промени в индикаторите на базата на обективно настъпили причини и въздействието им върху крайните резултати;</w:t>
      </w:r>
    </w:p>
    <w:p w14:paraId="5FEF75E6" w14:textId="3E7D2633" w:rsidR="00A42CF3" w:rsidRPr="00EA175D" w:rsidRDefault="002E3B52" w:rsidP="00EA175D">
      <w:pPr>
        <w:spacing w:line="360" w:lineRule="auto"/>
        <w:ind w:firstLine="567"/>
        <w:jc w:val="both"/>
      </w:pPr>
      <w:r w:rsidRPr="00EA175D">
        <w:t>- На базата на количествени показатели и актуална информация ще се оцени: договориране на проекти; изпълнение на проекти и възстановени разходи. Информацията която ще се ползва ще се структурира по следните направления: открити приеми по мерки за периода 2015 – 2020 г; одобрени от МИГ проекти; сключени договори</w:t>
      </w:r>
      <w:r w:rsidR="004A2CE6" w:rsidRPr="00EA175D">
        <w:t>.</w:t>
      </w:r>
    </w:p>
    <w:p w14:paraId="008ADA0A" w14:textId="77777777" w:rsidR="00CD5ED7" w:rsidRPr="00EA175D" w:rsidRDefault="00CD5ED7" w:rsidP="00EA175D">
      <w:pPr>
        <w:spacing w:line="360" w:lineRule="auto"/>
        <w:ind w:firstLine="567"/>
        <w:jc w:val="both"/>
      </w:pPr>
      <w:r w:rsidRPr="00EA175D">
        <w:t>Съгласно цитираният договор изпълнението на услугата включва следните дейности:</w:t>
      </w:r>
    </w:p>
    <w:p w14:paraId="30F64B5A" w14:textId="396B4419" w:rsidR="004A2CE6" w:rsidRPr="00EA175D" w:rsidRDefault="00CD5ED7" w:rsidP="00EA175D">
      <w:pPr>
        <w:pStyle w:val="ab"/>
        <w:numPr>
          <w:ilvl w:val="0"/>
          <w:numId w:val="2"/>
        </w:numPr>
        <w:tabs>
          <w:tab w:val="left" w:pos="993"/>
        </w:tabs>
        <w:spacing w:line="360" w:lineRule="auto"/>
        <w:ind w:left="0" w:firstLine="567"/>
        <w:jc w:val="both"/>
      </w:pPr>
      <w:r w:rsidRPr="00EA175D">
        <w:t>Дейност 1: Структуриране – определяне методите на</w:t>
      </w:r>
      <w:r w:rsidR="00182D32" w:rsidRPr="00EA175D">
        <w:t xml:space="preserve"> анализ и необходимите данни, които следва да бъдат събрани</w:t>
      </w:r>
      <w:r w:rsidR="0037413C" w:rsidRPr="00EA175D">
        <w:t>.</w:t>
      </w:r>
      <w:r w:rsidR="00EA6480" w:rsidRPr="00F77584">
        <w:rPr>
          <w:lang w:val="ru-RU"/>
        </w:rPr>
        <w:t xml:space="preserve"> </w:t>
      </w:r>
      <w:r w:rsidR="00EA6480" w:rsidRPr="00EA175D">
        <w:rPr>
          <w:lang w:val="en-US"/>
        </w:rPr>
        <w:t>E</w:t>
      </w:r>
      <w:r w:rsidR="00EA6480" w:rsidRPr="00EA175D">
        <w:t>тапът на структуриране ще служи за установяване на ясно разбиране на оценъчните задачи и систематизиране на информация за изпълнението на оценката. Тук се включват дейностите: разработване на методика за това да се отговори на въпросите за оценка (общи въпроси на оценка, включително хоризонтални и специфични програмни въпроси; идентифициране на показателите (общи и специфични за мярката показатели), както и свързана информация и изисквания за данни, позволяваща да се оцени ефективността на дейностите на местните територии</w:t>
      </w:r>
    </w:p>
    <w:p w14:paraId="6A7FD6A7" w14:textId="06D82ABA" w:rsidR="002E3B52" w:rsidRPr="00EA175D" w:rsidRDefault="004A2CE6" w:rsidP="00EA175D">
      <w:pPr>
        <w:tabs>
          <w:tab w:val="left" w:pos="993"/>
        </w:tabs>
        <w:spacing w:line="360" w:lineRule="auto"/>
        <w:ind w:firstLine="567"/>
        <w:jc w:val="both"/>
      </w:pPr>
      <w:r w:rsidRPr="00EA175D">
        <w:t xml:space="preserve">2. Дейност 2: Наблюдение и набиране на  необходимите данни - </w:t>
      </w:r>
      <w:r w:rsidR="0037413C" w:rsidRPr="00EA175D">
        <w:t>Описание на методите за анализ</w:t>
      </w:r>
      <w:r w:rsidR="00335CCD" w:rsidRPr="00EA175D">
        <w:t xml:space="preserve">: </w:t>
      </w:r>
      <w:r w:rsidR="002E3B52" w:rsidRPr="00EA175D">
        <w:t xml:space="preserve">в обхвата на този етап ще се осъществи анализ на цялата налична информация с оглед оценяване на въздействията и последствията от мерките по отношение на програмни цели и целеви решения. С оглед да се оцени извършеният напредък ще бъде установена връзката с базите данни, предоставени в контекста на </w:t>
      </w:r>
      <w:r w:rsidR="002E3B52" w:rsidRPr="00EA175D">
        <w:lastRenderedPageBreak/>
        <w:t>текущата оценка. За качественото реализиране на аналитичната част от оценката „Интелект консулт плюс“ ще осъществи:</w:t>
      </w:r>
    </w:p>
    <w:p w14:paraId="455AC745" w14:textId="77777777" w:rsidR="002E3B52" w:rsidRPr="00EA175D" w:rsidRDefault="002E3B52" w:rsidP="00EA175D">
      <w:pPr>
        <w:pStyle w:val="ab"/>
        <w:tabs>
          <w:tab w:val="left" w:pos="993"/>
        </w:tabs>
        <w:spacing w:line="360" w:lineRule="auto"/>
        <w:ind w:left="0" w:firstLine="567"/>
        <w:jc w:val="both"/>
      </w:pPr>
      <w:r w:rsidRPr="00EA175D">
        <w:t>-</w:t>
      </w:r>
      <w:r w:rsidRPr="00EA175D">
        <w:tab/>
        <w:t>Ще се установят подходящи типове мерки и/или бенефициенти с оглед намаляване на сложността на работа с емпирични данни;</w:t>
      </w:r>
    </w:p>
    <w:p w14:paraId="469B6C8C" w14:textId="77777777" w:rsidR="002E3B52" w:rsidRPr="00EA175D" w:rsidRDefault="002E3B52" w:rsidP="00EA175D">
      <w:pPr>
        <w:pStyle w:val="ab"/>
        <w:tabs>
          <w:tab w:val="left" w:pos="993"/>
        </w:tabs>
        <w:spacing w:line="360" w:lineRule="auto"/>
        <w:ind w:left="0" w:firstLine="567"/>
        <w:jc w:val="both"/>
      </w:pPr>
      <w:r w:rsidRPr="00EA175D">
        <w:t>-</w:t>
      </w:r>
      <w:r w:rsidRPr="00EA175D">
        <w:tab/>
        <w:t>Ще се обработят и синтезират налични данни и информация и при необходимост ще се запълнят празнотите в данни чрез моделиране и други екстраполации;</w:t>
      </w:r>
    </w:p>
    <w:p w14:paraId="51AD22E3" w14:textId="63205011" w:rsidR="00CD5ED7" w:rsidRPr="00EA175D" w:rsidRDefault="002E3B52" w:rsidP="00EA175D">
      <w:pPr>
        <w:pStyle w:val="ab"/>
        <w:tabs>
          <w:tab w:val="left" w:pos="993"/>
        </w:tabs>
        <w:spacing w:line="360" w:lineRule="auto"/>
        <w:ind w:left="0" w:firstLine="567"/>
        <w:jc w:val="both"/>
      </w:pPr>
      <w:r w:rsidRPr="00EA175D">
        <w:t>-</w:t>
      </w:r>
      <w:r w:rsidRPr="00EA175D">
        <w:tab/>
        <w:t>Където е необходима ще се направят измервания спрямо хипотетични положения и целеви решения</w:t>
      </w:r>
      <w:r w:rsidR="00135D08">
        <w:t>.</w:t>
      </w:r>
      <w:r w:rsidR="0069771B" w:rsidRPr="00EA175D">
        <w:t xml:space="preserve"> </w:t>
      </w:r>
    </w:p>
    <w:p w14:paraId="6A5D872E" w14:textId="77777777" w:rsidR="0069771B" w:rsidRPr="00EA175D" w:rsidRDefault="0069771B" w:rsidP="00EA175D">
      <w:pPr>
        <w:tabs>
          <w:tab w:val="left" w:pos="993"/>
        </w:tabs>
        <w:spacing w:line="360" w:lineRule="auto"/>
        <w:ind w:firstLine="567"/>
        <w:jc w:val="both"/>
      </w:pPr>
      <w:r w:rsidRPr="00EA175D">
        <w:t>По отношение на наблюдението  „Интелект консулт“  ще  създадат нужните инструменти за количествения и качествен анализ:</w:t>
      </w:r>
    </w:p>
    <w:p w14:paraId="37611E6E" w14:textId="2117EBB8" w:rsidR="0069771B" w:rsidRPr="00EA175D" w:rsidRDefault="0069771B" w:rsidP="00EA175D">
      <w:pPr>
        <w:pStyle w:val="ab"/>
        <w:tabs>
          <w:tab w:val="left" w:pos="993"/>
        </w:tabs>
        <w:spacing w:line="360" w:lineRule="auto"/>
        <w:ind w:left="0" w:firstLine="567"/>
        <w:jc w:val="both"/>
      </w:pPr>
      <w:r w:rsidRPr="00EA175D">
        <w:t>А) Качествени методи – провеждане на директни индивидуални и фокус групови полу структурирани интервюта с конкретни представители на участници в прилагането на подхода ЛИДЕР и подхода ВОМР.</w:t>
      </w:r>
    </w:p>
    <w:p w14:paraId="23D92B51" w14:textId="691CE806" w:rsidR="0069771B" w:rsidRPr="00EA175D" w:rsidRDefault="0069771B" w:rsidP="00EA175D">
      <w:pPr>
        <w:pStyle w:val="ab"/>
        <w:tabs>
          <w:tab w:val="left" w:pos="993"/>
        </w:tabs>
        <w:spacing w:line="360" w:lineRule="auto"/>
        <w:ind w:left="0" w:firstLine="567"/>
        <w:jc w:val="both"/>
      </w:pPr>
      <w:r w:rsidRPr="00EA175D">
        <w:t>1.</w:t>
      </w:r>
      <w:r w:rsidRPr="00EA175D">
        <w:tab/>
        <w:t xml:space="preserve">На национално ниво (УО на </w:t>
      </w:r>
      <w:r w:rsidR="004E507A" w:rsidRPr="00EA175D">
        <w:t>Програмата</w:t>
      </w:r>
      <w:r w:rsidRPr="00EA175D">
        <w:t>);</w:t>
      </w:r>
    </w:p>
    <w:p w14:paraId="5D5F9598" w14:textId="77777777" w:rsidR="0069771B" w:rsidRPr="00EA175D" w:rsidRDefault="0069771B" w:rsidP="00EA175D">
      <w:pPr>
        <w:pStyle w:val="ab"/>
        <w:tabs>
          <w:tab w:val="left" w:pos="993"/>
        </w:tabs>
        <w:spacing w:line="360" w:lineRule="auto"/>
        <w:ind w:left="0" w:firstLine="567"/>
        <w:jc w:val="both"/>
      </w:pPr>
      <w:r w:rsidRPr="00EA175D">
        <w:t>2.</w:t>
      </w:r>
      <w:r w:rsidRPr="00EA175D">
        <w:tab/>
        <w:t>На местно ниво (представители на МИГ-ове изпълняващи стратегии в действащият програмен период) – 70 интервюта;</w:t>
      </w:r>
    </w:p>
    <w:p w14:paraId="36FAD9E3" w14:textId="4696685B" w:rsidR="0069771B" w:rsidRPr="00EA175D" w:rsidRDefault="0069771B" w:rsidP="00EA175D">
      <w:pPr>
        <w:pStyle w:val="ab"/>
        <w:tabs>
          <w:tab w:val="left" w:pos="993"/>
        </w:tabs>
        <w:spacing w:line="360" w:lineRule="auto"/>
        <w:ind w:left="0" w:firstLine="567"/>
        <w:jc w:val="both"/>
      </w:pPr>
      <w:r w:rsidRPr="00EA175D">
        <w:t>3.</w:t>
      </w:r>
      <w:r w:rsidRPr="00EA175D">
        <w:tab/>
        <w:t>На ниво представители на земеделски стопани и други заинтересовани страни спрямо стратегиите за развитие на местните общности (140 интервюта)</w:t>
      </w:r>
      <w:r w:rsidR="00135D08">
        <w:t>.</w:t>
      </w:r>
    </w:p>
    <w:p w14:paraId="5085A1FF" w14:textId="69AC85F9" w:rsidR="0069771B" w:rsidRPr="00EA175D" w:rsidRDefault="0069771B" w:rsidP="00EA175D">
      <w:pPr>
        <w:pStyle w:val="ab"/>
        <w:tabs>
          <w:tab w:val="left" w:pos="993"/>
        </w:tabs>
        <w:spacing w:line="360" w:lineRule="auto"/>
        <w:ind w:left="0" w:firstLine="567"/>
        <w:jc w:val="both"/>
      </w:pPr>
      <w:r w:rsidRPr="00EA175D">
        <w:t>Б)  Количествени методи – специално разработени въпросници за представители на УО на Програмата и на представители на МИГ-ове.</w:t>
      </w:r>
    </w:p>
    <w:p w14:paraId="31A486E2" w14:textId="77777777" w:rsidR="0069771B" w:rsidRPr="00EA175D" w:rsidRDefault="0069771B" w:rsidP="00EA175D">
      <w:pPr>
        <w:pStyle w:val="ab"/>
        <w:tabs>
          <w:tab w:val="left" w:pos="993"/>
        </w:tabs>
        <w:spacing w:line="360" w:lineRule="auto"/>
        <w:ind w:left="0" w:firstLine="567"/>
        <w:jc w:val="both"/>
        <w:rPr>
          <w:highlight w:val="yellow"/>
        </w:rPr>
      </w:pPr>
      <w:r w:rsidRPr="00EA175D">
        <w:t>В) Количествени данни, събрани и анализирани за целите на оценката на МИГ.</w:t>
      </w:r>
    </w:p>
    <w:p w14:paraId="2C79B816" w14:textId="60DCF869" w:rsidR="002E3B52" w:rsidRPr="00EA175D" w:rsidRDefault="0037413C" w:rsidP="00EA175D">
      <w:pPr>
        <w:tabs>
          <w:tab w:val="left" w:pos="993"/>
        </w:tabs>
        <w:spacing w:line="360" w:lineRule="auto"/>
        <w:ind w:firstLine="567"/>
        <w:jc w:val="both"/>
      </w:pPr>
      <w:r w:rsidRPr="00EA175D">
        <w:t>Възложителят ще предостави на Изпълнителя наличните данни</w:t>
      </w:r>
      <w:r w:rsidR="00010AC1" w:rsidRPr="00EA175D">
        <w:t xml:space="preserve"> като </w:t>
      </w:r>
      <w:r w:rsidR="002E3B52" w:rsidRPr="00EA175D">
        <w:t xml:space="preserve">в рамките на етапът на наблюдение ще бъде идентифицирана наличната и подходяща информация, както и уточнена валидността и ползата от използваните количествени и качествени данни. </w:t>
      </w:r>
    </w:p>
    <w:p w14:paraId="1832C01E" w14:textId="6E010EEB" w:rsidR="00DF7671" w:rsidRPr="00EA175D" w:rsidRDefault="00DF7671" w:rsidP="00EA175D">
      <w:pPr>
        <w:tabs>
          <w:tab w:val="left" w:pos="993"/>
        </w:tabs>
        <w:spacing w:line="360" w:lineRule="auto"/>
        <w:ind w:firstLine="567"/>
        <w:jc w:val="both"/>
      </w:pPr>
    </w:p>
    <w:p w14:paraId="39A64D46" w14:textId="3BEF52AB" w:rsidR="00DF7671" w:rsidRPr="00EA175D" w:rsidRDefault="00DF7671" w:rsidP="00EA175D">
      <w:pPr>
        <w:tabs>
          <w:tab w:val="left" w:pos="993"/>
        </w:tabs>
        <w:spacing w:line="360" w:lineRule="auto"/>
        <w:ind w:firstLine="567"/>
        <w:jc w:val="both"/>
      </w:pPr>
    </w:p>
    <w:p w14:paraId="67433499" w14:textId="0EB56810" w:rsidR="00DF7671" w:rsidRDefault="00DF7671" w:rsidP="00823BFC">
      <w:pPr>
        <w:tabs>
          <w:tab w:val="left" w:pos="993"/>
        </w:tabs>
        <w:spacing w:line="360" w:lineRule="auto"/>
        <w:jc w:val="both"/>
      </w:pPr>
    </w:p>
    <w:p w14:paraId="6065DD9D" w14:textId="77777777" w:rsidR="00823BFC" w:rsidRPr="00EA175D" w:rsidRDefault="00823BFC" w:rsidP="00823BFC">
      <w:pPr>
        <w:tabs>
          <w:tab w:val="left" w:pos="993"/>
        </w:tabs>
        <w:spacing w:line="360" w:lineRule="auto"/>
        <w:jc w:val="both"/>
      </w:pPr>
    </w:p>
    <w:p w14:paraId="28967C29" w14:textId="00130F09" w:rsidR="0037413C" w:rsidRPr="00EA175D" w:rsidRDefault="0037413C" w:rsidP="00EA175D">
      <w:pPr>
        <w:pStyle w:val="ab"/>
        <w:tabs>
          <w:tab w:val="left" w:pos="993"/>
        </w:tabs>
        <w:spacing w:line="360" w:lineRule="auto"/>
        <w:ind w:left="0" w:firstLine="567"/>
        <w:jc w:val="both"/>
      </w:pPr>
      <w:r w:rsidRPr="00EA175D">
        <w:t xml:space="preserve">С писмо </w:t>
      </w:r>
      <w:r w:rsidR="00E15A5E" w:rsidRPr="00EA175D">
        <w:t>до Възложителя</w:t>
      </w:r>
      <w:r w:rsidRPr="00EA175D">
        <w:t xml:space="preserve"> е изискана информация относно:</w:t>
      </w:r>
    </w:p>
    <w:p w14:paraId="7BB6959F" w14:textId="1A9C8D95" w:rsidR="00DF7671" w:rsidRPr="00EA175D" w:rsidRDefault="00DF7671" w:rsidP="00EA175D">
      <w:pPr>
        <w:pStyle w:val="ab"/>
        <w:tabs>
          <w:tab w:val="left" w:pos="993"/>
        </w:tabs>
        <w:spacing w:line="360" w:lineRule="auto"/>
        <w:ind w:left="0" w:firstLine="567"/>
        <w:jc w:val="both"/>
      </w:pPr>
      <w:r w:rsidRPr="00EA175D">
        <w:t>- Б</w:t>
      </w:r>
      <w:r w:rsidR="0069771B" w:rsidRPr="00EA175D">
        <w:t xml:space="preserve">рой на одобрените МИГ-ове. Необходима е пълна информация за одобрените МИГ-ове (структура, щатове, представителност </w:t>
      </w:r>
      <w:r w:rsidR="00135D08">
        <w:t>на</w:t>
      </w:r>
      <w:r w:rsidR="0069771B" w:rsidRPr="00EA175D">
        <w:t>местната влас</w:t>
      </w:r>
      <w:r w:rsidR="00135D08">
        <w:t>т</w:t>
      </w:r>
      <w:r w:rsidR="0069771B" w:rsidRPr="00EA175D">
        <w:t xml:space="preserve"> в управителните съвети и общите събрания на МИГ)</w:t>
      </w:r>
      <w:r w:rsidRPr="00EA175D">
        <w:t>;</w:t>
      </w:r>
    </w:p>
    <w:p w14:paraId="0FCAA050" w14:textId="6B2404A9" w:rsidR="00DF7671" w:rsidRPr="00EA175D" w:rsidRDefault="00DF7671" w:rsidP="00EA175D">
      <w:pPr>
        <w:pStyle w:val="ab"/>
        <w:tabs>
          <w:tab w:val="left" w:pos="993"/>
        </w:tabs>
        <w:spacing w:line="360" w:lineRule="auto"/>
        <w:ind w:left="0" w:firstLine="567"/>
        <w:jc w:val="both"/>
      </w:pPr>
      <w:r w:rsidRPr="00EA175D">
        <w:t>- Д</w:t>
      </w:r>
      <w:r w:rsidR="0069771B" w:rsidRPr="00EA175D">
        <w:t>оговорирани проекти по всеки един от МИГ-овете за всяка една от мерките приети в Стратегията;</w:t>
      </w:r>
    </w:p>
    <w:p w14:paraId="402F9A83" w14:textId="7B789D95" w:rsidR="00DF7671" w:rsidRPr="00EA175D" w:rsidRDefault="00DF7671" w:rsidP="00EA175D">
      <w:pPr>
        <w:pStyle w:val="ab"/>
        <w:tabs>
          <w:tab w:val="left" w:pos="993"/>
        </w:tabs>
        <w:spacing w:line="360" w:lineRule="auto"/>
        <w:ind w:left="0" w:firstLine="567"/>
        <w:jc w:val="both"/>
      </w:pPr>
      <w:r w:rsidRPr="00EA175D">
        <w:t>-  П</w:t>
      </w:r>
      <w:r w:rsidR="0069771B" w:rsidRPr="00EA175D">
        <w:t>одписани договори и процес на изпъленение на договорите;</w:t>
      </w:r>
    </w:p>
    <w:p w14:paraId="566AD68A" w14:textId="5D4245A7" w:rsidR="00DF7671" w:rsidRPr="00EA175D" w:rsidRDefault="00DF7671" w:rsidP="00EA175D">
      <w:pPr>
        <w:pStyle w:val="ab"/>
        <w:tabs>
          <w:tab w:val="left" w:pos="993"/>
        </w:tabs>
        <w:spacing w:line="360" w:lineRule="auto"/>
        <w:ind w:left="0" w:firstLine="567"/>
        <w:jc w:val="both"/>
      </w:pPr>
      <w:r w:rsidRPr="00EA175D">
        <w:t xml:space="preserve">-  </w:t>
      </w:r>
      <w:r w:rsidR="0069771B" w:rsidRPr="00EA175D">
        <w:t>Финализирани проекти и изплатени средства за всеки един от МИГ-овете;</w:t>
      </w:r>
    </w:p>
    <w:p w14:paraId="099316D5" w14:textId="02F044BB" w:rsidR="00DF7671" w:rsidRPr="00EA175D" w:rsidRDefault="00DF7671" w:rsidP="00EA175D">
      <w:pPr>
        <w:pStyle w:val="ab"/>
        <w:tabs>
          <w:tab w:val="left" w:pos="993"/>
        </w:tabs>
        <w:spacing w:line="360" w:lineRule="auto"/>
        <w:ind w:left="0" w:firstLine="567"/>
        <w:jc w:val="both"/>
      </w:pPr>
      <w:r w:rsidRPr="00EA175D">
        <w:t xml:space="preserve">-  </w:t>
      </w:r>
      <w:r w:rsidR="0069771B" w:rsidRPr="00EA175D">
        <w:t>Постигнати общи инд</w:t>
      </w:r>
      <w:r w:rsidR="00135D08">
        <w:t>и</w:t>
      </w:r>
      <w:r w:rsidR="0069771B" w:rsidRPr="00EA175D">
        <w:t xml:space="preserve">катори за изпълнение на Стратегиите и ако има промяна в индикаторите – какви са причините; </w:t>
      </w:r>
    </w:p>
    <w:p w14:paraId="4FBABB31" w14:textId="1C4108EB" w:rsidR="00DF7671" w:rsidRPr="00EA175D" w:rsidRDefault="00DF7671" w:rsidP="00EA175D">
      <w:pPr>
        <w:pStyle w:val="ab"/>
        <w:tabs>
          <w:tab w:val="left" w:pos="993"/>
        </w:tabs>
        <w:spacing w:line="360" w:lineRule="auto"/>
        <w:ind w:left="0" w:firstLine="567"/>
        <w:jc w:val="both"/>
      </w:pPr>
      <w:r w:rsidRPr="00EA175D">
        <w:t xml:space="preserve">- </w:t>
      </w:r>
      <w:r w:rsidR="0069771B" w:rsidRPr="00EA175D">
        <w:t>Количествени показатели за оценка на работата на МИГ-овете: извършени</w:t>
      </w:r>
      <w:r w:rsidR="00135D08">
        <w:t>т</w:t>
      </w:r>
      <w:r w:rsidR="0069771B" w:rsidRPr="00EA175D">
        <w:t>е обучения и информационни кампании); администаративен капацитет на МИГ-вете ( заети, текучество, Управителни съвети); работа в ИСУН – ефективност и възникнали проблеми;</w:t>
      </w:r>
    </w:p>
    <w:p w14:paraId="33BA28D6" w14:textId="507DE8C8" w:rsidR="00DF7671" w:rsidRPr="00EA175D" w:rsidRDefault="00DF7671" w:rsidP="00EA175D">
      <w:pPr>
        <w:pStyle w:val="ab"/>
        <w:tabs>
          <w:tab w:val="left" w:pos="993"/>
        </w:tabs>
        <w:spacing w:line="360" w:lineRule="auto"/>
        <w:ind w:left="0" w:firstLine="567"/>
        <w:jc w:val="both"/>
      </w:pPr>
      <w:r w:rsidRPr="00EA175D">
        <w:t xml:space="preserve">- </w:t>
      </w:r>
      <w:r w:rsidR="0069771B" w:rsidRPr="00EA175D">
        <w:t>Приети п</w:t>
      </w:r>
      <w:r w:rsidR="00135D08">
        <w:t>роек</w:t>
      </w:r>
      <w:r w:rsidR="0069771B" w:rsidRPr="00EA175D">
        <w:t>ти по подмярка 19.1 – Малки пилотни п</w:t>
      </w:r>
      <w:r w:rsidR="00135D08">
        <w:t>роект</w:t>
      </w:r>
      <w:r w:rsidR="0069771B" w:rsidRPr="00EA175D">
        <w:t>и по подмярка 19.1 „Помощ за подготвителни дейности“. Договориране;</w:t>
      </w:r>
    </w:p>
    <w:p w14:paraId="1BE66335" w14:textId="3D9C37BA" w:rsidR="009E6C8F" w:rsidRPr="00EA175D" w:rsidRDefault="00DF7671" w:rsidP="00EA175D">
      <w:pPr>
        <w:pStyle w:val="ab"/>
        <w:tabs>
          <w:tab w:val="left" w:pos="993"/>
        </w:tabs>
        <w:spacing w:line="360" w:lineRule="auto"/>
        <w:ind w:left="0" w:firstLine="567"/>
        <w:jc w:val="both"/>
      </w:pPr>
      <w:r w:rsidRPr="00EA175D">
        <w:t>- Д</w:t>
      </w:r>
      <w:r w:rsidR="0069771B" w:rsidRPr="00EA175D">
        <w:t>оговори и изпълнение на подмярка 19.3 „Подготовка и изпълнение на дейностите за сътрудничество на местните инициативни групи“</w:t>
      </w:r>
      <w:r w:rsidR="009E6C8F" w:rsidRPr="00EA175D">
        <w:t>.</w:t>
      </w:r>
    </w:p>
    <w:p w14:paraId="182E92BE" w14:textId="3F4F9FA5" w:rsidR="00C21BBD" w:rsidRPr="00EA175D" w:rsidRDefault="0037413C" w:rsidP="00EA175D">
      <w:pPr>
        <w:pStyle w:val="ab"/>
        <w:numPr>
          <w:ilvl w:val="0"/>
          <w:numId w:val="15"/>
        </w:numPr>
        <w:tabs>
          <w:tab w:val="left" w:pos="993"/>
        </w:tabs>
        <w:spacing w:line="360" w:lineRule="auto"/>
        <w:ind w:left="0" w:firstLine="567"/>
        <w:jc w:val="both"/>
      </w:pPr>
      <w:r w:rsidRPr="00EA175D">
        <w:t>Дейност 3: Анализ на данните – обработване и анализиране на събраните данни и изве</w:t>
      </w:r>
      <w:r w:rsidR="00135D08">
        <w:t>ж</w:t>
      </w:r>
      <w:r w:rsidRPr="00EA175D">
        <w:t xml:space="preserve">дане на резултатите от изпълнението на подхода ЛИДЕР и подхода ВОМР по ПРСР </w:t>
      </w:r>
      <w:r w:rsidR="00135D08">
        <w:t xml:space="preserve">2014 – 2020 г. </w:t>
      </w:r>
      <w:r w:rsidRPr="00EA175D">
        <w:t>и качеството на неговото наблюдение и прилагане.</w:t>
      </w:r>
    </w:p>
    <w:p w14:paraId="32C23B13" w14:textId="44973CF7" w:rsidR="00906528" w:rsidRPr="00EA175D" w:rsidRDefault="0037413C" w:rsidP="00EA175D">
      <w:pPr>
        <w:pStyle w:val="ab"/>
        <w:numPr>
          <w:ilvl w:val="0"/>
          <w:numId w:val="15"/>
        </w:numPr>
        <w:tabs>
          <w:tab w:val="left" w:pos="993"/>
        </w:tabs>
        <w:spacing w:line="360" w:lineRule="auto"/>
        <w:ind w:left="0" w:firstLine="567"/>
        <w:jc w:val="both"/>
      </w:pPr>
      <w:r w:rsidRPr="00EA175D">
        <w:t>Дейност 4: Извеждане на заключения – обобщаване на информацията по оценката в заключения, основаващи се на анализа на данните за подхода ЛИДЕР и подхода ВОМР по ПРСР</w:t>
      </w:r>
      <w:r w:rsidR="00135D08">
        <w:t xml:space="preserve"> 2014 – 2020 г</w:t>
      </w:r>
      <w:r w:rsidRPr="00EA175D">
        <w:t>. Предпоставките и предположенията на направените</w:t>
      </w:r>
      <w:r w:rsidR="002E7BD3" w:rsidRPr="00EA175D">
        <w:t xml:space="preserve"> заключения</w:t>
      </w:r>
      <w:r w:rsidR="00906528" w:rsidRPr="00EA175D">
        <w:t xml:space="preserve"> трябва да се изложат с оглед преценката на тяхната валидност.</w:t>
      </w:r>
    </w:p>
    <w:p w14:paraId="5DC932C1" w14:textId="0B3F90D3" w:rsidR="007A2F7D" w:rsidRPr="00EA175D" w:rsidRDefault="00906528" w:rsidP="00EA175D">
      <w:pPr>
        <w:pStyle w:val="ab"/>
        <w:numPr>
          <w:ilvl w:val="0"/>
          <w:numId w:val="15"/>
        </w:numPr>
        <w:tabs>
          <w:tab w:val="left" w:pos="993"/>
        </w:tabs>
        <w:spacing w:line="360" w:lineRule="auto"/>
        <w:ind w:left="0" w:firstLine="567"/>
        <w:jc w:val="both"/>
      </w:pPr>
      <w:r w:rsidRPr="00EA175D">
        <w:t>Дейност 5: Докладване – изготвяне на доклад с текуща оценка на</w:t>
      </w:r>
      <w:r w:rsidR="0037413C" w:rsidRPr="00EA175D">
        <w:t xml:space="preserve"> </w:t>
      </w:r>
      <w:r w:rsidRPr="00EA175D">
        <w:t>подхода ЛИДЕР и подхода ВОМР по ПРСР (2014 – 2020 г.), обхващащ периода на изпълнение на Програмата до края на 2020 г.</w:t>
      </w:r>
    </w:p>
    <w:p w14:paraId="0AACEF82" w14:textId="6501DAB8" w:rsidR="007A2F7D" w:rsidRPr="00EA175D" w:rsidRDefault="00154314" w:rsidP="00EA175D">
      <w:pPr>
        <w:pStyle w:val="1"/>
        <w:numPr>
          <w:ilvl w:val="0"/>
          <w:numId w:val="1"/>
        </w:numPr>
        <w:tabs>
          <w:tab w:val="left" w:pos="993"/>
        </w:tabs>
        <w:spacing w:line="360" w:lineRule="auto"/>
        <w:ind w:left="0" w:firstLine="567"/>
        <w:jc w:val="both"/>
        <w:rPr>
          <w:rFonts w:ascii="Times New Roman" w:hAnsi="Times New Roman" w:cs="Times New Roman"/>
          <w:color w:val="auto"/>
          <w:sz w:val="24"/>
          <w:szCs w:val="24"/>
        </w:rPr>
      </w:pPr>
      <w:bookmarkStart w:id="4" w:name="_Toc93489767"/>
      <w:r w:rsidRPr="00EA175D">
        <w:rPr>
          <w:rFonts w:ascii="Times New Roman" w:hAnsi="Times New Roman" w:cs="Times New Roman"/>
          <w:color w:val="auto"/>
          <w:sz w:val="24"/>
          <w:szCs w:val="24"/>
        </w:rPr>
        <w:lastRenderedPageBreak/>
        <w:t>Извършване на оценката</w:t>
      </w:r>
      <w:bookmarkEnd w:id="4"/>
    </w:p>
    <w:p w14:paraId="276CF617" w14:textId="77777777" w:rsidR="00154314" w:rsidRPr="00EA175D" w:rsidRDefault="002B1D88" w:rsidP="00EA175D">
      <w:pPr>
        <w:spacing w:line="360" w:lineRule="auto"/>
        <w:ind w:firstLine="567"/>
        <w:jc w:val="both"/>
      </w:pPr>
      <w:r w:rsidRPr="00EA175D">
        <w:t xml:space="preserve">Настоящата оценка се извършва в съотвествие с </w:t>
      </w:r>
      <w:r w:rsidR="009516C8" w:rsidRPr="00EA175D">
        <w:t xml:space="preserve">чл. 54, пар. 3 на </w:t>
      </w:r>
      <w:r w:rsidR="00154314" w:rsidRPr="00EA175D">
        <w:t>Регламент</w:t>
      </w:r>
      <w:r w:rsidRPr="00EA175D">
        <w:t xml:space="preserve"> </w:t>
      </w:r>
      <w:r w:rsidR="009516C8" w:rsidRPr="00EA175D">
        <w:t>(ЕС) 1303</w:t>
      </w:r>
      <w:r w:rsidR="009516C8" w:rsidRPr="00F77584">
        <w:rPr>
          <w:lang w:val="ru-RU"/>
        </w:rPr>
        <w:t>/</w:t>
      </w:r>
      <w:r w:rsidR="009516C8" w:rsidRPr="00EA175D">
        <w:t xml:space="preserve">2013 </w:t>
      </w:r>
      <w:r w:rsidRPr="00EA175D">
        <w:t xml:space="preserve">и с </w:t>
      </w:r>
      <w:r w:rsidR="0041430C" w:rsidRPr="00EA175D">
        <w:t>Насоки</w:t>
      </w:r>
      <w:r w:rsidR="009516C8" w:rsidRPr="00EA175D">
        <w:t>те</w:t>
      </w:r>
      <w:r w:rsidR="0041430C" w:rsidRPr="00EA175D">
        <w:t xml:space="preserve"> за оценка на LEADER/ВОМР (2017 г.) на Европейската комисия – Генерална дирекция „Земеделие и развитие на селските райони“, Отдел C.4.</w:t>
      </w:r>
    </w:p>
    <w:p w14:paraId="4956AA26" w14:textId="2AA8AACB" w:rsidR="00341F26" w:rsidRPr="00EA175D" w:rsidRDefault="00F30158" w:rsidP="00EA175D">
      <w:pPr>
        <w:spacing w:line="360" w:lineRule="auto"/>
        <w:ind w:firstLine="567"/>
        <w:jc w:val="both"/>
      </w:pPr>
      <w:r w:rsidRPr="00EA175D">
        <w:t>Съгласно Техническото задание към обществена поръчка „Текуща оценка на подхода ЛИДЕР и подхода ВОМР от ПРСР (2014 – 2020 г.) до 2020 г.“ обхванатият период на прилагане на подхода ЛИДЕР и подхода ВОМР е „от стартирането на ПРСР през 2015 г. до края на 2020 г.“. След допълнителна молба от страна на Възложителя периодът за оценка е удължен до 30 септември 2021 г. (добавени са 9 месеца), което е обосновано с желанието на Възложителя оценката да бъде максимално актуална и обективна.</w:t>
      </w:r>
    </w:p>
    <w:p w14:paraId="1CCA54B0" w14:textId="77777777" w:rsidR="00341F26" w:rsidRPr="00EA175D" w:rsidRDefault="00341F26" w:rsidP="00EA175D">
      <w:pPr>
        <w:pStyle w:val="1"/>
        <w:numPr>
          <w:ilvl w:val="1"/>
          <w:numId w:val="1"/>
        </w:numPr>
        <w:tabs>
          <w:tab w:val="left" w:pos="993"/>
        </w:tabs>
        <w:spacing w:line="360" w:lineRule="auto"/>
        <w:ind w:left="0" w:firstLine="567"/>
        <w:jc w:val="both"/>
        <w:rPr>
          <w:rFonts w:ascii="Times New Roman" w:hAnsi="Times New Roman" w:cs="Times New Roman"/>
          <w:color w:val="auto"/>
          <w:sz w:val="24"/>
          <w:szCs w:val="24"/>
        </w:rPr>
      </w:pPr>
      <w:bookmarkStart w:id="5" w:name="_Toc93489768"/>
      <w:r w:rsidRPr="00EA175D">
        <w:rPr>
          <w:rFonts w:ascii="Times New Roman" w:hAnsi="Times New Roman" w:cs="Times New Roman"/>
          <w:color w:val="auto"/>
          <w:sz w:val="24"/>
          <w:szCs w:val="24"/>
        </w:rPr>
        <w:t>Мобилизиране на екипа на Изпълнителя</w:t>
      </w:r>
      <w:bookmarkEnd w:id="5"/>
    </w:p>
    <w:p w14:paraId="4F3418FC" w14:textId="77777777" w:rsidR="00504BA7" w:rsidRDefault="00504BA7" w:rsidP="00504BA7">
      <w:pPr>
        <w:spacing w:line="360" w:lineRule="auto"/>
        <w:jc w:val="both"/>
      </w:pPr>
      <w:bookmarkStart w:id="6" w:name="_Toc93489769"/>
      <w:r w:rsidRPr="00FE4026">
        <w:t>Екипът на Изпълнителя се състои от следните експерти:</w:t>
      </w:r>
    </w:p>
    <w:p w14:paraId="1CAF6DD1" w14:textId="77777777" w:rsidR="00504BA7" w:rsidRPr="00EB3154" w:rsidRDefault="00504BA7" w:rsidP="00504BA7">
      <w:pPr>
        <w:pStyle w:val="ab"/>
        <w:numPr>
          <w:ilvl w:val="0"/>
          <w:numId w:val="20"/>
        </w:numPr>
        <w:spacing w:line="360" w:lineRule="auto"/>
        <w:jc w:val="both"/>
        <w:rPr>
          <w:u w:val="single"/>
          <w:lang w:val="en-US"/>
        </w:rPr>
      </w:pPr>
      <w:r w:rsidRPr="00EB3154">
        <w:rPr>
          <w:u w:val="single"/>
        </w:rPr>
        <w:t xml:space="preserve">Ключови експерти </w:t>
      </w:r>
    </w:p>
    <w:p w14:paraId="11149E7B" w14:textId="40C436F9" w:rsidR="00504BA7" w:rsidRDefault="0020610F" w:rsidP="005D2E0C">
      <w:pPr>
        <w:spacing w:line="360" w:lineRule="auto"/>
        <w:ind w:firstLine="360"/>
        <w:jc w:val="both"/>
      </w:pPr>
      <w:bookmarkStart w:id="7" w:name="_Hlk90461265"/>
      <w:r>
        <w:rPr>
          <w:b/>
          <w:bCs/>
        </w:rPr>
        <w:t xml:space="preserve">1. </w:t>
      </w:r>
      <w:r w:rsidR="00504BA7" w:rsidRPr="004812C0">
        <w:rPr>
          <w:b/>
          <w:bCs/>
        </w:rPr>
        <w:t xml:space="preserve">Ръководител Екип </w:t>
      </w:r>
      <w:bookmarkEnd w:id="7"/>
      <w:r w:rsidR="00504BA7" w:rsidRPr="004812C0">
        <w:rPr>
          <w:b/>
          <w:bCs/>
        </w:rPr>
        <w:t>- проф. д-р Иван Дянков Пачев</w:t>
      </w:r>
      <w:r w:rsidR="00504BA7" w:rsidRPr="00FE4026">
        <w:t xml:space="preserve">  </w:t>
      </w:r>
      <w:r w:rsidR="00504BA7">
        <w:t xml:space="preserve"> - ръководи цялостното изпълнение на дейностите по анализа  - мобилизация на ключови експерти и разпределение на задачите между екипа. </w:t>
      </w:r>
    </w:p>
    <w:p w14:paraId="5F1086F5" w14:textId="77777777" w:rsidR="00504BA7" w:rsidRDefault="00504BA7" w:rsidP="00504BA7">
      <w:pPr>
        <w:spacing w:line="360" w:lineRule="auto"/>
        <w:jc w:val="both"/>
        <w:rPr>
          <w:bCs/>
          <w:lang w:eastAsia="en-US"/>
        </w:rPr>
      </w:pPr>
      <w:r>
        <w:t xml:space="preserve">Ръководи и контролира изпълнението на </w:t>
      </w:r>
      <w:r w:rsidRPr="00EB3154">
        <w:rPr>
          <w:bCs/>
          <w:lang w:eastAsia="en-US"/>
        </w:rPr>
        <w:t>Етап 1: Структуриране – определяне методите на анализ и необходимите данни, които следва да бъдат събрани.</w:t>
      </w:r>
      <w:r>
        <w:rPr>
          <w:bCs/>
          <w:lang w:eastAsia="en-US"/>
        </w:rPr>
        <w:t xml:space="preserve"> </w:t>
      </w:r>
      <w:r w:rsidRPr="00EB3154">
        <w:rPr>
          <w:bCs/>
          <w:lang w:eastAsia="en-US"/>
        </w:rPr>
        <w:t xml:space="preserve">Заедно с ключовите експерти определят целите на анализа, необходимата информация, която следва да бъде събрана, за да се достигне до необходимите данни.  Ръководителя отговаря за контрола на Етап 2: Набиране на необходимите данни , Етап 3: Анализ на данните – контрол на обработка и анализ на данните за </w:t>
      </w:r>
      <w:r w:rsidRPr="00EB3154">
        <w:rPr>
          <w:bCs/>
        </w:rPr>
        <w:t>подхода ЛИДЕР и</w:t>
      </w:r>
      <w:r w:rsidRPr="00EB3154">
        <w:rPr>
          <w:bCs/>
          <w:lang w:eastAsia="en-US"/>
        </w:rPr>
        <w:t xml:space="preserve"> подхода ВОМР от ПРСР. Определя структурата по Етап 4: Извеждане на заключения, ръководи работата на Ключовите експерти по Етап 5: Докладване – подготовка на доклад с текуща оценка на </w:t>
      </w:r>
      <w:r w:rsidRPr="00EB3154">
        <w:rPr>
          <w:bCs/>
        </w:rPr>
        <w:t>подхода ЛИДЕР и</w:t>
      </w:r>
      <w:r w:rsidRPr="00EB3154">
        <w:rPr>
          <w:bCs/>
          <w:lang w:eastAsia="en-US"/>
        </w:rPr>
        <w:t xml:space="preserve"> подхода ВОМР от ПРСР (2014-2020 г.), до края на 2020 г. Ръководи допълнителни проучвания за верифицирането на данните от мониторинговата система и събиране на допълнителна информация.</w:t>
      </w:r>
    </w:p>
    <w:p w14:paraId="181660A3" w14:textId="427DB3EA" w:rsidR="00504BA7" w:rsidRDefault="0020610F" w:rsidP="005D2E0C">
      <w:pPr>
        <w:spacing w:line="360" w:lineRule="auto"/>
        <w:ind w:firstLine="426"/>
        <w:jc w:val="both"/>
      </w:pPr>
      <w:bookmarkStart w:id="8" w:name="_Hlk90461271"/>
      <w:r>
        <w:rPr>
          <w:b/>
          <w:bCs/>
        </w:rPr>
        <w:lastRenderedPageBreak/>
        <w:t xml:space="preserve">2. </w:t>
      </w:r>
      <w:r w:rsidR="00504BA7" w:rsidRPr="004812C0">
        <w:rPr>
          <w:b/>
          <w:bCs/>
        </w:rPr>
        <w:t xml:space="preserve">Ключов експерт №1 по местно развитие  </w:t>
      </w:r>
      <w:bookmarkEnd w:id="8"/>
      <w:r w:rsidR="00504BA7" w:rsidRPr="004812C0">
        <w:rPr>
          <w:b/>
          <w:bCs/>
        </w:rPr>
        <w:t>- Агоп Каспарян</w:t>
      </w:r>
      <w:r w:rsidR="00504BA7" w:rsidRPr="00EB3154">
        <w:t xml:space="preserve">  </w:t>
      </w:r>
      <w:r w:rsidR="00504BA7">
        <w:t xml:space="preserve">- подпомага дейността на ръководителя като отговаря за определяне на необходимите данни за изготвяне на анализа. Структурира информацията, която следва да бъде изискана, обработена и докладвана на Ръководителя, за целите на настоящия анализ. Експертът отговаря за набиране, изготвяне, докладване и обобщаване на следните данни: </w:t>
      </w:r>
    </w:p>
    <w:p w14:paraId="2D861BD1" w14:textId="77777777" w:rsidR="00504BA7" w:rsidRPr="00E860FB" w:rsidRDefault="00504BA7" w:rsidP="00504BA7">
      <w:pPr>
        <w:pStyle w:val="ab"/>
        <w:numPr>
          <w:ilvl w:val="0"/>
          <w:numId w:val="19"/>
        </w:numPr>
        <w:spacing w:line="360" w:lineRule="auto"/>
        <w:ind w:left="426"/>
        <w:jc w:val="both"/>
      </w:pPr>
      <w:r w:rsidRPr="00E860FB">
        <w:rPr>
          <w:bCs/>
        </w:rPr>
        <w:t xml:space="preserve">договаряне по </w:t>
      </w:r>
      <w:r w:rsidRPr="002618CD">
        <w:t>подхода ЛИДЕР и</w:t>
      </w:r>
      <w:r w:rsidRPr="00E860FB">
        <w:rPr>
          <w:rFonts w:eastAsia="Times New Roman"/>
          <w:bCs/>
        </w:rPr>
        <w:t xml:space="preserve"> </w:t>
      </w:r>
      <w:r w:rsidRPr="00E860FB">
        <w:rPr>
          <w:bCs/>
        </w:rPr>
        <w:t>подхода ВОМР – открити приеми, одобрени от МИГ проекти, сключени договори</w:t>
      </w:r>
      <w:r>
        <w:rPr>
          <w:bCs/>
        </w:rPr>
        <w:t>;</w:t>
      </w:r>
    </w:p>
    <w:p w14:paraId="0CE5E929" w14:textId="77777777" w:rsidR="00504BA7" w:rsidRPr="00E860FB" w:rsidRDefault="00504BA7" w:rsidP="00504BA7">
      <w:pPr>
        <w:pStyle w:val="ab"/>
        <w:numPr>
          <w:ilvl w:val="0"/>
          <w:numId w:val="19"/>
        </w:numPr>
        <w:spacing w:line="360" w:lineRule="auto"/>
        <w:ind w:left="426"/>
        <w:jc w:val="both"/>
      </w:pPr>
      <w:r w:rsidRPr="00BD5DF1">
        <w:rPr>
          <w:bCs/>
        </w:rPr>
        <w:t>извършени обучения, информационни кампании (информационни срещи и конференции, информационни материали,  публикации</w:t>
      </w:r>
      <w:r>
        <w:rPr>
          <w:bCs/>
        </w:rPr>
        <w:t>;</w:t>
      </w:r>
    </w:p>
    <w:p w14:paraId="6B2E8144" w14:textId="7D3374ED" w:rsidR="00504BA7" w:rsidRPr="00E860FB" w:rsidRDefault="00504BA7" w:rsidP="00504BA7">
      <w:pPr>
        <w:pStyle w:val="ab"/>
        <w:numPr>
          <w:ilvl w:val="0"/>
          <w:numId w:val="19"/>
        </w:numPr>
        <w:spacing w:line="360" w:lineRule="auto"/>
        <w:ind w:left="426"/>
        <w:jc w:val="both"/>
      </w:pPr>
      <w:r w:rsidRPr="00BD5DF1">
        <w:rPr>
          <w:bCs/>
        </w:rPr>
        <w:t xml:space="preserve">общи индикатори за изпълнение на стратегиите и индикаторите по мерките на стратегиите за </w:t>
      </w:r>
      <w:r w:rsidRPr="002618CD">
        <w:t>подхода ЛИДЕР и</w:t>
      </w:r>
      <w:r w:rsidRPr="00BD5DF1">
        <w:rPr>
          <w:rFonts w:eastAsia="Times New Roman"/>
          <w:bCs/>
        </w:rPr>
        <w:t xml:space="preserve"> </w:t>
      </w:r>
      <w:r>
        <w:rPr>
          <w:bCs/>
        </w:rPr>
        <w:t>подхода ВОМР</w:t>
      </w:r>
      <w:r w:rsidR="00135D08">
        <w:rPr>
          <w:bCs/>
        </w:rPr>
        <w:t>;</w:t>
      </w:r>
    </w:p>
    <w:p w14:paraId="7221F075" w14:textId="4DF4216B" w:rsidR="00504BA7" w:rsidRDefault="00504BA7" w:rsidP="00504BA7">
      <w:pPr>
        <w:pStyle w:val="ab"/>
        <w:numPr>
          <w:ilvl w:val="0"/>
          <w:numId w:val="19"/>
        </w:numPr>
        <w:tabs>
          <w:tab w:val="left" w:pos="1134"/>
        </w:tabs>
        <w:spacing w:line="360" w:lineRule="auto"/>
        <w:ind w:left="426"/>
        <w:contextualSpacing w:val="0"/>
        <w:jc w:val="both"/>
        <w:rPr>
          <w:bCs/>
        </w:rPr>
      </w:pPr>
      <w:r w:rsidRPr="00BD5DF1">
        <w:rPr>
          <w:bCs/>
        </w:rPr>
        <w:t xml:space="preserve">икономическо въздействие на </w:t>
      </w:r>
      <w:r w:rsidRPr="002618CD">
        <w:t>подхода ЛИДЕР и</w:t>
      </w:r>
      <w:r w:rsidRPr="00BD5DF1">
        <w:rPr>
          <w:rFonts w:eastAsia="Times New Roman"/>
          <w:bCs/>
        </w:rPr>
        <w:t xml:space="preserve"> </w:t>
      </w:r>
      <w:r w:rsidRPr="00BD5DF1">
        <w:rPr>
          <w:bCs/>
        </w:rPr>
        <w:t>подхода ВОМР на териториите на прилагане</w:t>
      </w:r>
      <w:r w:rsidR="00135D08">
        <w:rPr>
          <w:bCs/>
        </w:rPr>
        <w:t>;</w:t>
      </w:r>
    </w:p>
    <w:p w14:paraId="1B12A1EE" w14:textId="31CC2CC5" w:rsidR="00504BA7" w:rsidRPr="00BD5DF1" w:rsidRDefault="00504BA7" w:rsidP="00504BA7">
      <w:pPr>
        <w:pStyle w:val="ab"/>
        <w:numPr>
          <w:ilvl w:val="0"/>
          <w:numId w:val="19"/>
        </w:numPr>
        <w:tabs>
          <w:tab w:val="left" w:pos="1134"/>
        </w:tabs>
        <w:spacing w:line="360" w:lineRule="auto"/>
        <w:ind w:left="426"/>
        <w:contextualSpacing w:val="0"/>
        <w:jc w:val="both"/>
        <w:rPr>
          <w:bCs/>
        </w:rPr>
      </w:pPr>
      <w:r w:rsidRPr="00BD5DF1">
        <w:rPr>
          <w:bCs/>
        </w:rPr>
        <w:t xml:space="preserve">извършени инвестиции, подкрепена и създадена заетост с финансиране от </w:t>
      </w:r>
      <w:r w:rsidRPr="002618CD">
        <w:t>подхода ЛИДЕР и</w:t>
      </w:r>
      <w:r w:rsidRPr="00BD5DF1">
        <w:rPr>
          <w:rFonts w:eastAsia="Times New Roman"/>
          <w:bCs/>
        </w:rPr>
        <w:t xml:space="preserve"> </w:t>
      </w:r>
      <w:r w:rsidRPr="00BD5DF1">
        <w:rPr>
          <w:bCs/>
        </w:rPr>
        <w:t xml:space="preserve">подхода ВОМР на териториите на неговото прилагане, добавена стойност на инвестициите по </w:t>
      </w:r>
      <w:r w:rsidRPr="002618CD">
        <w:t>подхода ЛИДЕР и</w:t>
      </w:r>
      <w:r w:rsidRPr="00BD5DF1">
        <w:rPr>
          <w:rFonts w:eastAsia="Times New Roman"/>
          <w:bCs/>
        </w:rPr>
        <w:t xml:space="preserve"> </w:t>
      </w:r>
      <w:r w:rsidRPr="00BD5DF1">
        <w:rPr>
          <w:bCs/>
        </w:rPr>
        <w:t>ВОМР</w:t>
      </w:r>
      <w:r w:rsidR="00135D08">
        <w:rPr>
          <w:bCs/>
        </w:rPr>
        <w:t>;</w:t>
      </w:r>
    </w:p>
    <w:p w14:paraId="34DAF0D1" w14:textId="00DE5770" w:rsidR="00504BA7" w:rsidRPr="00BD5DF1" w:rsidRDefault="00504BA7" w:rsidP="00504BA7">
      <w:pPr>
        <w:pStyle w:val="HTML"/>
        <w:numPr>
          <w:ilvl w:val="0"/>
          <w:numId w:val="19"/>
        </w:numPr>
        <w:spacing w:line="360" w:lineRule="auto"/>
        <w:ind w:left="426"/>
        <w:jc w:val="both"/>
        <w:rPr>
          <w:rFonts w:ascii="Times New Roman" w:eastAsia="SimSun" w:hAnsi="Times New Roman" w:cs="Times New Roman"/>
          <w:bCs/>
          <w:sz w:val="24"/>
          <w:szCs w:val="24"/>
        </w:rPr>
      </w:pPr>
      <w:r>
        <w:rPr>
          <w:rFonts w:ascii="Times New Roman" w:eastAsia="SimSun" w:hAnsi="Times New Roman" w:cs="Times New Roman"/>
          <w:bCs/>
          <w:sz w:val="24"/>
          <w:szCs w:val="24"/>
        </w:rPr>
        <w:t xml:space="preserve">Анализ на данни относно </w:t>
      </w:r>
      <w:r w:rsidRPr="00BD5DF1">
        <w:rPr>
          <w:rFonts w:ascii="Times New Roman" w:eastAsia="SimSun" w:hAnsi="Times New Roman" w:cs="Times New Roman"/>
          <w:bCs/>
          <w:sz w:val="24"/>
          <w:szCs w:val="24"/>
        </w:rPr>
        <w:t>административния капацитет на МИГ,</w:t>
      </w:r>
      <w:r>
        <w:rPr>
          <w:rFonts w:ascii="Times New Roman" w:eastAsia="SimSun" w:hAnsi="Times New Roman" w:cs="Times New Roman"/>
          <w:bCs/>
          <w:sz w:val="24"/>
          <w:szCs w:val="24"/>
        </w:rPr>
        <w:t xml:space="preserve"> </w:t>
      </w:r>
      <w:r w:rsidRPr="00BD5DF1">
        <w:rPr>
          <w:rFonts w:ascii="Times New Roman" w:eastAsia="SimSun" w:hAnsi="Times New Roman" w:cs="Times New Roman"/>
          <w:bCs/>
          <w:sz w:val="24"/>
          <w:szCs w:val="24"/>
        </w:rPr>
        <w:t>екипите на МИГ</w:t>
      </w:r>
      <w:r>
        <w:rPr>
          <w:rFonts w:ascii="Times New Roman" w:eastAsia="SimSun" w:hAnsi="Times New Roman" w:cs="Times New Roman"/>
          <w:bCs/>
          <w:sz w:val="24"/>
          <w:szCs w:val="24"/>
        </w:rPr>
        <w:t xml:space="preserve">, </w:t>
      </w:r>
      <w:r w:rsidRPr="00BD5DF1">
        <w:rPr>
          <w:rFonts w:ascii="Times New Roman" w:eastAsia="SimSun" w:hAnsi="Times New Roman" w:cs="Times New Roman"/>
          <w:bCs/>
          <w:sz w:val="24"/>
          <w:szCs w:val="24"/>
        </w:rPr>
        <w:t>текучество на персонала, структура и представителност на местната общност в управителните съвети и</w:t>
      </w:r>
      <w:r>
        <w:rPr>
          <w:rFonts w:ascii="Times New Roman" w:eastAsia="SimSun" w:hAnsi="Times New Roman" w:cs="Times New Roman"/>
          <w:bCs/>
          <w:sz w:val="24"/>
          <w:szCs w:val="24"/>
        </w:rPr>
        <w:t xml:space="preserve"> общите събрания на МИГ</w:t>
      </w:r>
      <w:r w:rsidR="00135D08">
        <w:rPr>
          <w:rFonts w:ascii="Times New Roman" w:eastAsia="SimSun" w:hAnsi="Times New Roman" w:cs="Times New Roman"/>
          <w:bCs/>
          <w:sz w:val="24"/>
          <w:szCs w:val="24"/>
        </w:rPr>
        <w:t>.</w:t>
      </w:r>
    </w:p>
    <w:p w14:paraId="4E555518" w14:textId="6CCD1D4E" w:rsidR="00504BA7" w:rsidRPr="00512242" w:rsidRDefault="0020610F" w:rsidP="005D2E0C">
      <w:pPr>
        <w:spacing w:line="360" w:lineRule="auto"/>
        <w:ind w:left="426" w:firstLine="294"/>
        <w:jc w:val="both"/>
      </w:pPr>
      <w:bookmarkStart w:id="9" w:name="_Hlk90461281"/>
      <w:r>
        <w:rPr>
          <w:b/>
          <w:bCs/>
        </w:rPr>
        <w:t xml:space="preserve">3. </w:t>
      </w:r>
      <w:r w:rsidR="00504BA7" w:rsidRPr="004812C0">
        <w:rPr>
          <w:b/>
          <w:bCs/>
        </w:rPr>
        <w:t xml:space="preserve">Ключов експерт №2 по оценка на въздействието </w:t>
      </w:r>
      <w:bookmarkEnd w:id="9"/>
      <w:r w:rsidR="00504BA7" w:rsidRPr="004812C0">
        <w:rPr>
          <w:b/>
          <w:bCs/>
        </w:rPr>
        <w:t xml:space="preserve">- Минка </w:t>
      </w:r>
      <w:r w:rsidR="00504BA7" w:rsidRPr="00DA0FC3">
        <w:rPr>
          <w:b/>
          <w:bCs/>
        </w:rPr>
        <w:t>Анастасова</w:t>
      </w:r>
      <w:r w:rsidR="00504BA7" w:rsidRPr="00512242">
        <w:t xml:space="preserve"> – в отчетния период са анализирани данните, изискани от Управляващия орган – Министерство на земеделието, храните и горите и Държавен фонд „Земеделие“. Под ръководството на Ръководителя на екипа, експерта участва в структурирането на основни въпроси, касаещи местната общност, изискване на необходимата информация от Управляващите органи и оценка на въздействието и анализ по следните теми:</w:t>
      </w:r>
    </w:p>
    <w:p w14:paraId="3AAE6B63" w14:textId="13EA2D54" w:rsidR="00504BA7" w:rsidRPr="00512242" w:rsidRDefault="00504BA7" w:rsidP="00504BA7">
      <w:pPr>
        <w:pStyle w:val="ab"/>
        <w:numPr>
          <w:ilvl w:val="0"/>
          <w:numId w:val="19"/>
        </w:numPr>
        <w:spacing w:line="360" w:lineRule="auto"/>
        <w:ind w:left="426"/>
        <w:jc w:val="both"/>
      </w:pPr>
      <w:r w:rsidRPr="009304BC">
        <w:rPr>
          <w:bCs/>
        </w:rPr>
        <w:t xml:space="preserve">социалното въздействие на </w:t>
      </w:r>
      <w:r w:rsidRPr="002618CD">
        <w:t>подхода ЛИДЕР и</w:t>
      </w:r>
      <w:r w:rsidRPr="009304BC">
        <w:rPr>
          <w:rFonts w:eastAsia="Times New Roman"/>
          <w:bCs/>
        </w:rPr>
        <w:t xml:space="preserve"> </w:t>
      </w:r>
      <w:r w:rsidRPr="009304BC">
        <w:rPr>
          <w:bCs/>
        </w:rPr>
        <w:t>подхода ВОМР на териториите на прилагане</w:t>
      </w:r>
      <w:r w:rsidR="00A235D2">
        <w:rPr>
          <w:bCs/>
        </w:rPr>
        <w:t>;</w:t>
      </w:r>
    </w:p>
    <w:p w14:paraId="505A7D7F" w14:textId="19D9B56D" w:rsidR="00504BA7" w:rsidRPr="009304BC" w:rsidRDefault="00504BA7" w:rsidP="00504BA7">
      <w:pPr>
        <w:pStyle w:val="ab"/>
        <w:numPr>
          <w:ilvl w:val="0"/>
          <w:numId w:val="19"/>
        </w:numPr>
        <w:spacing w:line="360" w:lineRule="auto"/>
        <w:ind w:left="426"/>
        <w:jc w:val="both"/>
      </w:pPr>
      <w:r w:rsidRPr="009304BC">
        <w:rPr>
          <w:bCs/>
        </w:rPr>
        <w:lastRenderedPageBreak/>
        <w:t>въздействие върху формирането на местната идентичност, активизиране на местните общности, повишаване на уменията на населението и потенциала за развитие на териториите на прилагане на подхода</w:t>
      </w:r>
      <w:r w:rsidR="00A235D2">
        <w:rPr>
          <w:bCs/>
        </w:rPr>
        <w:t>;</w:t>
      </w:r>
    </w:p>
    <w:p w14:paraId="3A8D4462" w14:textId="5011DC21" w:rsidR="00504BA7" w:rsidRPr="009304BC" w:rsidRDefault="00504BA7" w:rsidP="00504BA7">
      <w:pPr>
        <w:pStyle w:val="ab"/>
        <w:numPr>
          <w:ilvl w:val="0"/>
          <w:numId w:val="19"/>
        </w:numPr>
        <w:spacing w:line="360" w:lineRule="auto"/>
        <w:ind w:left="426"/>
        <w:jc w:val="both"/>
      </w:pPr>
      <w:r w:rsidRPr="009304BC">
        <w:rPr>
          <w:rFonts w:eastAsia="SimSun"/>
          <w:bCs/>
        </w:rPr>
        <w:t xml:space="preserve">взаимодействие между заинтересованите страни при прилагането на </w:t>
      </w:r>
      <w:r w:rsidRPr="007B5F26">
        <w:t>подхода ЛИДЕР и</w:t>
      </w:r>
      <w:r w:rsidRPr="009304BC">
        <w:rPr>
          <w:bCs/>
        </w:rPr>
        <w:t xml:space="preserve"> </w:t>
      </w:r>
      <w:r w:rsidRPr="009304BC">
        <w:rPr>
          <w:rFonts w:eastAsia="SimSun"/>
          <w:bCs/>
        </w:rPr>
        <w:t xml:space="preserve">подхода ВОМР с управляващи органи, участващи в подхода, ДФЗ, МИГ и крайните бенефициенти към стратегиите за </w:t>
      </w:r>
      <w:r w:rsidRPr="007B5F26">
        <w:t>подхода ЛИДЕР и</w:t>
      </w:r>
      <w:r w:rsidRPr="009304BC">
        <w:rPr>
          <w:rFonts w:eastAsia="SimSun"/>
          <w:bCs/>
        </w:rPr>
        <w:t xml:space="preserve"> </w:t>
      </w:r>
      <w:r w:rsidRPr="007B5F26">
        <w:t xml:space="preserve">подхода </w:t>
      </w:r>
      <w:r w:rsidRPr="009304BC">
        <w:rPr>
          <w:rFonts w:eastAsia="SimSun"/>
          <w:bCs/>
        </w:rPr>
        <w:t>ВОМР</w:t>
      </w:r>
      <w:r w:rsidR="00A235D2">
        <w:rPr>
          <w:rFonts w:eastAsia="SimSun"/>
          <w:bCs/>
        </w:rPr>
        <w:t>;</w:t>
      </w:r>
    </w:p>
    <w:p w14:paraId="588535DF" w14:textId="5836CD68" w:rsidR="00504BA7" w:rsidRPr="00BD5DF1" w:rsidRDefault="00A235D2" w:rsidP="00504BA7">
      <w:pPr>
        <w:pStyle w:val="HTML"/>
        <w:numPr>
          <w:ilvl w:val="0"/>
          <w:numId w:val="19"/>
        </w:numPr>
        <w:spacing w:line="360" w:lineRule="auto"/>
        <w:ind w:left="426"/>
        <w:jc w:val="both"/>
        <w:rPr>
          <w:rFonts w:ascii="Times New Roman" w:eastAsia="SimSun" w:hAnsi="Times New Roman" w:cs="Times New Roman"/>
          <w:bCs/>
          <w:sz w:val="24"/>
          <w:szCs w:val="24"/>
        </w:rPr>
      </w:pPr>
      <w:r>
        <w:rPr>
          <w:rFonts w:ascii="Times New Roman" w:eastAsia="SimSun" w:hAnsi="Times New Roman" w:cs="Times New Roman"/>
          <w:bCs/>
          <w:sz w:val="24"/>
          <w:szCs w:val="24"/>
        </w:rPr>
        <w:t>о</w:t>
      </w:r>
      <w:r w:rsidR="00504BA7" w:rsidRPr="00BD5DF1">
        <w:rPr>
          <w:rFonts w:ascii="Times New Roman" w:eastAsia="SimSun" w:hAnsi="Times New Roman" w:cs="Times New Roman"/>
          <w:bCs/>
          <w:sz w:val="24"/>
          <w:szCs w:val="24"/>
        </w:rPr>
        <w:t xml:space="preserve">ценка на прилагането на </w:t>
      </w:r>
      <w:proofErr w:type="spellStart"/>
      <w:r w:rsidR="00504BA7" w:rsidRPr="00BD5DF1">
        <w:rPr>
          <w:rFonts w:ascii="Times New Roman" w:eastAsia="SimSun" w:hAnsi="Times New Roman" w:cs="Times New Roman"/>
          <w:bCs/>
          <w:sz w:val="24"/>
          <w:szCs w:val="24"/>
        </w:rPr>
        <w:t>подмярка</w:t>
      </w:r>
      <w:proofErr w:type="spellEnd"/>
      <w:r w:rsidR="00504BA7" w:rsidRPr="00BD5DF1">
        <w:rPr>
          <w:rFonts w:ascii="Times New Roman" w:eastAsia="SimSun" w:hAnsi="Times New Roman" w:cs="Times New Roman"/>
          <w:bCs/>
          <w:sz w:val="24"/>
          <w:szCs w:val="24"/>
        </w:rPr>
        <w:t xml:space="preserve"> 19.1 „Помощ за подготвителни дейности“</w:t>
      </w:r>
      <w:r w:rsidR="00504BA7">
        <w:rPr>
          <w:rFonts w:ascii="Times New Roman" w:eastAsia="SimSun" w:hAnsi="Times New Roman" w:cs="Times New Roman"/>
          <w:bCs/>
          <w:sz w:val="24"/>
          <w:szCs w:val="24"/>
        </w:rPr>
        <w:t xml:space="preserve"> от ПРСР 2014-2020 г.</w:t>
      </w:r>
      <w:r w:rsidR="00504BA7" w:rsidRPr="00BD5DF1">
        <w:rPr>
          <w:rFonts w:ascii="Times New Roman" w:eastAsia="SimSun" w:hAnsi="Times New Roman" w:cs="Times New Roman"/>
          <w:bCs/>
          <w:sz w:val="24"/>
          <w:szCs w:val="24"/>
        </w:rPr>
        <w:t>, включително и прилагане на „Малки пилотни проекти“;</w:t>
      </w:r>
    </w:p>
    <w:p w14:paraId="097096CA" w14:textId="4972EC71" w:rsidR="00504BA7" w:rsidRPr="00BD5DF1" w:rsidRDefault="00A235D2" w:rsidP="00504BA7">
      <w:pPr>
        <w:pStyle w:val="HTML"/>
        <w:numPr>
          <w:ilvl w:val="0"/>
          <w:numId w:val="19"/>
        </w:numPr>
        <w:spacing w:line="360" w:lineRule="auto"/>
        <w:ind w:left="426"/>
        <w:jc w:val="both"/>
        <w:rPr>
          <w:rFonts w:ascii="Times New Roman" w:eastAsia="SimSun" w:hAnsi="Times New Roman" w:cs="Times New Roman"/>
          <w:bCs/>
          <w:sz w:val="24"/>
          <w:szCs w:val="24"/>
        </w:rPr>
      </w:pPr>
      <w:r>
        <w:rPr>
          <w:rFonts w:ascii="Times New Roman" w:eastAsia="SimSun" w:hAnsi="Times New Roman" w:cs="Times New Roman"/>
          <w:bCs/>
          <w:sz w:val="24"/>
          <w:szCs w:val="24"/>
        </w:rPr>
        <w:t>о</w:t>
      </w:r>
      <w:r w:rsidR="00504BA7" w:rsidRPr="00BD5DF1">
        <w:rPr>
          <w:rFonts w:ascii="Times New Roman" w:eastAsia="SimSun" w:hAnsi="Times New Roman" w:cs="Times New Roman"/>
          <w:bCs/>
          <w:sz w:val="24"/>
          <w:szCs w:val="24"/>
        </w:rPr>
        <w:t xml:space="preserve">ценка на устойчивостта на стратегиите за </w:t>
      </w:r>
      <w:r w:rsidR="00504BA7" w:rsidRPr="007B5F26">
        <w:rPr>
          <w:rFonts w:ascii="Times New Roman" w:hAnsi="Times New Roman" w:cs="Times New Roman"/>
          <w:sz w:val="24"/>
          <w:szCs w:val="24"/>
        </w:rPr>
        <w:t>подхода ЛИДЕР и</w:t>
      </w:r>
      <w:r w:rsidR="00504BA7" w:rsidRPr="00BD5DF1">
        <w:rPr>
          <w:rFonts w:ascii="Times New Roman" w:eastAsia="SimSun" w:hAnsi="Times New Roman" w:cs="Times New Roman"/>
          <w:bCs/>
          <w:sz w:val="24"/>
          <w:szCs w:val="24"/>
        </w:rPr>
        <w:t xml:space="preserve"> </w:t>
      </w:r>
      <w:r w:rsidR="00504BA7" w:rsidRPr="007B5F26">
        <w:rPr>
          <w:rFonts w:ascii="Times New Roman" w:hAnsi="Times New Roman" w:cs="Times New Roman"/>
          <w:sz w:val="24"/>
          <w:szCs w:val="24"/>
        </w:rPr>
        <w:t>подхода</w:t>
      </w:r>
      <w:r w:rsidR="00504BA7">
        <w:rPr>
          <w:rFonts w:ascii="Times New Roman" w:hAnsi="Times New Roman" w:cs="Times New Roman"/>
          <w:sz w:val="24"/>
          <w:szCs w:val="24"/>
        </w:rPr>
        <w:t xml:space="preserve"> </w:t>
      </w:r>
      <w:r w:rsidR="00504BA7" w:rsidRPr="00BD5DF1">
        <w:rPr>
          <w:rFonts w:ascii="Times New Roman" w:eastAsia="SimSun" w:hAnsi="Times New Roman" w:cs="Times New Roman"/>
          <w:bCs/>
          <w:sz w:val="24"/>
          <w:szCs w:val="24"/>
        </w:rPr>
        <w:t>ВОМР - промени в стратегиите, причини и резултати;</w:t>
      </w:r>
    </w:p>
    <w:p w14:paraId="3F5570A4" w14:textId="58E586D6" w:rsidR="00504BA7" w:rsidRPr="00BD5DF1" w:rsidRDefault="00A235D2" w:rsidP="00504BA7">
      <w:pPr>
        <w:pStyle w:val="HTML"/>
        <w:numPr>
          <w:ilvl w:val="0"/>
          <w:numId w:val="19"/>
        </w:numPr>
        <w:spacing w:line="360" w:lineRule="auto"/>
        <w:ind w:left="426"/>
        <w:jc w:val="both"/>
        <w:rPr>
          <w:rFonts w:ascii="Times New Roman" w:eastAsia="SimSun" w:hAnsi="Times New Roman" w:cs="Times New Roman"/>
          <w:bCs/>
          <w:sz w:val="24"/>
          <w:szCs w:val="24"/>
        </w:rPr>
      </w:pPr>
      <w:r>
        <w:rPr>
          <w:rFonts w:ascii="Times New Roman" w:eastAsia="SimSun" w:hAnsi="Times New Roman" w:cs="Times New Roman"/>
          <w:bCs/>
          <w:sz w:val="24"/>
          <w:szCs w:val="24"/>
        </w:rPr>
        <w:t>о</w:t>
      </w:r>
      <w:r w:rsidR="00504BA7" w:rsidRPr="00BD5DF1">
        <w:rPr>
          <w:rFonts w:ascii="Times New Roman" w:eastAsia="SimSun" w:hAnsi="Times New Roman" w:cs="Times New Roman"/>
          <w:bCs/>
          <w:sz w:val="24"/>
          <w:szCs w:val="24"/>
        </w:rPr>
        <w:t xml:space="preserve">ценка на прилагането на </w:t>
      </w:r>
      <w:proofErr w:type="spellStart"/>
      <w:r w:rsidR="00504BA7" w:rsidRPr="00BD5DF1">
        <w:rPr>
          <w:rFonts w:ascii="Times New Roman" w:eastAsia="SimSun" w:hAnsi="Times New Roman" w:cs="Times New Roman"/>
          <w:bCs/>
          <w:sz w:val="24"/>
          <w:szCs w:val="24"/>
        </w:rPr>
        <w:t>подмярка</w:t>
      </w:r>
      <w:proofErr w:type="spellEnd"/>
      <w:r w:rsidR="00504BA7" w:rsidRPr="00BD5DF1">
        <w:rPr>
          <w:rFonts w:ascii="Times New Roman" w:eastAsia="SimSun" w:hAnsi="Times New Roman" w:cs="Times New Roman"/>
          <w:bCs/>
          <w:sz w:val="24"/>
          <w:szCs w:val="24"/>
        </w:rPr>
        <w:t xml:space="preserve"> 19.3 „Подготовка и изпълнение на дейности за сътрудничество на местни инициативни групи“</w:t>
      </w:r>
      <w:r w:rsidR="00504BA7">
        <w:rPr>
          <w:rFonts w:ascii="Times New Roman" w:eastAsia="SimSun" w:hAnsi="Times New Roman" w:cs="Times New Roman"/>
          <w:bCs/>
          <w:sz w:val="24"/>
          <w:szCs w:val="24"/>
        </w:rPr>
        <w:t xml:space="preserve"> от ПРСР 2014-2020 г.</w:t>
      </w:r>
      <w:r w:rsidR="00504BA7" w:rsidRPr="00BD5DF1">
        <w:rPr>
          <w:rFonts w:ascii="Times New Roman" w:eastAsia="SimSun" w:hAnsi="Times New Roman" w:cs="Times New Roman"/>
          <w:bCs/>
          <w:sz w:val="24"/>
          <w:szCs w:val="24"/>
        </w:rPr>
        <w:t>;</w:t>
      </w:r>
    </w:p>
    <w:p w14:paraId="4BCF1254" w14:textId="7872AD22" w:rsidR="00504BA7" w:rsidRPr="00512242" w:rsidRDefault="00A235D2" w:rsidP="00504BA7">
      <w:pPr>
        <w:pStyle w:val="HTML"/>
        <w:numPr>
          <w:ilvl w:val="0"/>
          <w:numId w:val="19"/>
        </w:numPr>
        <w:spacing w:line="360" w:lineRule="auto"/>
        <w:ind w:left="426"/>
        <w:jc w:val="both"/>
        <w:rPr>
          <w:rFonts w:ascii="Times New Roman" w:eastAsia="SimSun" w:hAnsi="Times New Roman" w:cs="Times New Roman"/>
          <w:bCs/>
          <w:sz w:val="24"/>
          <w:szCs w:val="24"/>
        </w:rPr>
      </w:pPr>
      <w:r>
        <w:rPr>
          <w:rFonts w:ascii="Times New Roman" w:eastAsia="SimSun" w:hAnsi="Times New Roman" w:cs="Times New Roman"/>
          <w:bCs/>
          <w:sz w:val="24"/>
          <w:szCs w:val="24"/>
        </w:rPr>
        <w:t>о</w:t>
      </w:r>
      <w:r w:rsidR="00504BA7" w:rsidRPr="00BD5DF1">
        <w:rPr>
          <w:rFonts w:ascii="Times New Roman" w:eastAsia="SimSun" w:hAnsi="Times New Roman" w:cs="Times New Roman"/>
          <w:bCs/>
          <w:sz w:val="24"/>
          <w:szCs w:val="24"/>
        </w:rPr>
        <w:t>ценка на ефективността на ИСУН за намаляване на административната тежест за прилагането на</w:t>
      </w:r>
      <w:r w:rsidR="00504BA7">
        <w:rPr>
          <w:rFonts w:ascii="Times New Roman" w:eastAsia="SimSun" w:hAnsi="Times New Roman" w:cs="Times New Roman"/>
          <w:bCs/>
          <w:sz w:val="24"/>
          <w:szCs w:val="24"/>
        </w:rPr>
        <w:t xml:space="preserve"> </w:t>
      </w:r>
      <w:r w:rsidR="00504BA7" w:rsidRPr="007B5F26">
        <w:rPr>
          <w:rFonts w:ascii="Times New Roman" w:hAnsi="Times New Roman" w:cs="Times New Roman"/>
          <w:sz w:val="24"/>
          <w:szCs w:val="24"/>
        </w:rPr>
        <w:t>подхода ЛИДЕР и</w:t>
      </w:r>
      <w:r w:rsidR="00504BA7" w:rsidRPr="00BD5DF1">
        <w:rPr>
          <w:rFonts w:ascii="Times New Roman" w:eastAsia="SimSun" w:hAnsi="Times New Roman" w:cs="Times New Roman"/>
          <w:bCs/>
          <w:sz w:val="24"/>
          <w:szCs w:val="24"/>
        </w:rPr>
        <w:t xml:space="preserve"> подхода ВОМР</w:t>
      </w:r>
      <w:r w:rsidR="00504BA7">
        <w:rPr>
          <w:rFonts w:ascii="Times New Roman" w:eastAsia="SimSun" w:hAnsi="Times New Roman" w:cs="Times New Roman"/>
          <w:bCs/>
          <w:sz w:val="24"/>
          <w:szCs w:val="24"/>
        </w:rPr>
        <w:t xml:space="preserve">. </w:t>
      </w:r>
    </w:p>
    <w:p w14:paraId="61FEF6AE" w14:textId="77777777" w:rsidR="00504BA7" w:rsidRPr="00C0389A" w:rsidRDefault="00504BA7" w:rsidP="00C0389A">
      <w:pPr>
        <w:spacing w:line="360" w:lineRule="auto"/>
        <w:ind w:left="426" w:firstLine="283"/>
        <w:jc w:val="both"/>
        <w:rPr>
          <w:b/>
        </w:rPr>
      </w:pPr>
      <w:r w:rsidRPr="00C0389A">
        <w:rPr>
          <w:b/>
        </w:rPr>
        <w:t xml:space="preserve">Неключови експерти, заети с административни и организационни дейности: </w:t>
      </w:r>
    </w:p>
    <w:p w14:paraId="0D4A6D12" w14:textId="6268F90C" w:rsidR="00504BA7" w:rsidRPr="00FE4026" w:rsidRDefault="00504BA7" w:rsidP="00504BA7">
      <w:pPr>
        <w:pStyle w:val="ab"/>
        <w:numPr>
          <w:ilvl w:val="0"/>
          <w:numId w:val="18"/>
        </w:numPr>
        <w:spacing w:line="360" w:lineRule="auto"/>
        <w:jc w:val="both"/>
      </w:pPr>
      <w:bookmarkStart w:id="10" w:name="_Hlk90461290"/>
      <w:r w:rsidRPr="00FE4026">
        <w:t xml:space="preserve">Офис мениджър – </w:t>
      </w:r>
      <w:bookmarkEnd w:id="10"/>
      <w:r w:rsidRPr="00FE4026">
        <w:t xml:space="preserve">подпомага дейността на Ръководителя на екипа, административното и финансово управление. </w:t>
      </w:r>
      <w:r>
        <w:t>Участва активно и в н</w:t>
      </w:r>
      <w:r w:rsidRPr="00FE4026">
        <w:t>ачална фаза: мобилизация на ключови експерти и установяване на договорни отношения; По време на осъществяване на проекта: участие в планирането на предстоящи дейности; уреждане на договорни отношения с неключови експерти; финансова управление на договора; финансов контрол и мониторинг</w:t>
      </w:r>
      <w:r w:rsidR="00A235D2">
        <w:t>.</w:t>
      </w:r>
    </w:p>
    <w:p w14:paraId="7B4708AD" w14:textId="7115D802" w:rsidR="00504BA7" w:rsidRPr="00FE4026" w:rsidRDefault="00504BA7" w:rsidP="00504BA7">
      <w:pPr>
        <w:pStyle w:val="ab"/>
        <w:numPr>
          <w:ilvl w:val="0"/>
          <w:numId w:val="18"/>
        </w:numPr>
        <w:spacing w:line="360" w:lineRule="auto"/>
        <w:jc w:val="both"/>
      </w:pPr>
      <w:bookmarkStart w:id="11" w:name="_Hlk90461295"/>
      <w:r w:rsidRPr="00FE4026">
        <w:t xml:space="preserve">Експерт логистика – </w:t>
      </w:r>
      <w:bookmarkEnd w:id="11"/>
      <w:r w:rsidRPr="00FE4026">
        <w:t>отговаря за техническото обезпечаване на офиса, материали за работа, организация на куриерски услуги, отговаря за разпространението на информация, съхранение на</w:t>
      </w:r>
      <w:r>
        <w:t xml:space="preserve"> документи</w:t>
      </w:r>
      <w:r w:rsidR="00A235D2">
        <w:t xml:space="preserve"> и</w:t>
      </w:r>
      <w:r w:rsidRPr="00FE4026">
        <w:t xml:space="preserve"> организиране на работни срещи</w:t>
      </w:r>
      <w:r>
        <w:t xml:space="preserve">. </w:t>
      </w:r>
    </w:p>
    <w:p w14:paraId="6F24DD70" w14:textId="70271966" w:rsidR="00504BA7" w:rsidRPr="00FE4026" w:rsidRDefault="00504BA7" w:rsidP="00504BA7">
      <w:pPr>
        <w:pStyle w:val="ab"/>
        <w:numPr>
          <w:ilvl w:val="0"/>
          <w:numId w:val="18"/>
        </w:numPr>
        <w:spacing w:line="360" w:lineRule="auto"/>
        <w:jc w:val="both"/>
      </w:pPr>
      <w:bookmarkStart w:id="12" w:name="_Hlk90461301"/>
      <w:r w:rsidRPr="00FE4026">
        <w:t xml:space="preserve">Технически сътрудник </w:t>
      </w:r>
      <w:r>
        <w:t>–</w:t>
      </w:r>
      <w:r w:rsidRPr="00FE4026">
        <w:t xml:space="preserve"> </w:t>
      </w:r>
      <w:bookmarkEnd w:id="12"/>
      <w:r>
        <w:t xml:space="preserve">координация на действията на ключовите експерти, </w:t>
      </w:r>
      <w:r w:rsidRPr="00FE4026">
        <w:t>връзка с респондентите; подпомагане при подготовка на докладите; подпомагане пр</w:t>
      </w:r>
      <w:r>
        <w:t>и</w:t>
      </w:r>
      <w:r w:rsidRPr="00FE4026">
        <w:t xml:space="preserve"> установяване на работните процедури</w:t>
      </w:r>
      <w:r w:rsidR="00A235D2">
        <w:t>.</w:t>
      </w:r>
      <w:r w:rsidRPr="00FE4026">
        <w:t xml:space="preserve"> </w:t>
      </w:r>
    </w:p>
    <w:p w14:paraId="745016FB" w14:textId="141216BC" w:rsidR="00504BA7" w:rsidRPr="00FE4026" w:rsidRDefault="00504BA7" w:rsidP="00504BA7">
      <w:pPr>
        <w:pStyle w:val="ab"/>
        <w:numPr>
          <w:ilvl w:val="0"/>
          <w:numId w:val="18"/>
        </w:numPr>
        <w:spacing w:line="360" w:lineRule="auto"/>
        <w:jc w:val="both"/>
      </w:pPr>
      <w:bookmarkStart w:id="13" w:name="_Hlk90461306"/>
      <w:r w:rsidRPr="00FE4026">
        <w:t>Експерт обработка на данни</w:t>
      </w:r>
      <w:bookmarkEnd w:id="13"/>
      <w:r w:rsidRPr="00FE4026">
        <w:t xml:space="preserve">, високо ниво на Ecxel </w:t>
      </w:r>
      <w:r>
        <w:t xml:space="preserve">- </w:t>
      </w:r>
      <w:r w:rsidRPr="00FE4026">
        <w:t xml:space="preserve"> </w:t>
      </w:r>
      <w:r>
        <w:t>отговаря за обработването на 19 840 въпроса от 640 анкет</w:t>
      </w:r>
      <w:r w:rsidR="00E30F50">
        <w:t>и</w:t>
      </w:r>
      <w:r>
        <w:t xml:space="preserve"> за мнението на представителите на местните </w:t>
      </w:r>
      <w:r>
        <w:lastRenderedPageBreak/>
        <w:t>общности; отговаря за обработването на 1152 въпроса от 64 анкети на Местните инициативни групи</w:t>
      </w:r>
      <w:r w:rsidR="00A235D2">
        <w:t>.</w:t>
      </w:r>
      <w:r>
        <w:t xml:space="preserve"> </w:t>
      </w:r>
    </w:p>
    <w:p w14:paraId="3F8EA0C8" w14:textId="214B1C85" w:rsidR="00504BA7" w:rsidRPr="00FE4026" w:rsidRDefault="00504BA7" w:rsidP="00504BA7">
      <w:pPr>
        <w:pStyle w:val="ab"/>
        <w:numPr>
          <w:ilvl w:val="0"/>
          <w:numId w:val="18"/>
        </w:numPr>
        <w:spacing w:line="360" w:lineRule="auto"/>
        <w:jc w:val="both"/>
      </w:pPr>
      <w:r w:rsidRPr="00FE4026">
        <w:t xml:space="preserve">Експерт обработка на данни, високо ниво на Ecxel </w:t>
      </w:r>
      <w:r>
        <w:t xml:space="preserve">- </w:t>
      </w:r>
      <w:r w:rsidRPr="00FE4026">
        <w:t xml:space="preserve"> </w:t>
      </w:r>
      <w:r>
        <w:t xml:space="preserve">отговаря за обработването на 19 840 въпроса от 640 </w:t>
      </w:r>
      <w:r w:rsidR="00E30F50">
        <w:t xml:space="preserve">анкети </w:t>
      </w:r>
      <w:r>
        <w:t>за мнението на представителите на местните общности; отговаря за обработването на 1152 въпроса от 64 анкети на Местните инициативни групи</w:t>
      </w:r>
      <w:r w:rsidR="00A235D2">
        <w:t>.</w:t>
      </w:r>
      <w:r>
        <w:t xml:space="preserve"> </w:t>
      </w:r>
    </w:p>
    <w:p w14:paraId="5DBAED66" w14:textId="77777777" w:rsidR="00504BA7" w:rsidRPr="00FE4026" w:rsidRDefault="00504BA7" w:rsidP="00504BA7">
      <w:pPr>
        <w:pStyle w:val="ab"/>
        <w:numPr>
          <w:ilvl w:val="0"/>
          <w:numId w:val="18"/>
        </w:numPr>
        <w:spacing w:line="360" w:lineRule="auto"/>
        <w:jc w:val="both"/>
      </w:pPr>
      <w:bookmarkStart w:id="14" w:name="_Hlk90461312"/>
      <w:r w:rsidRPr="00FE4026">
        <w:t xml:space="preserve">Експерт структуриране на информация </w:t>
      </w:r>
      <w:r>
        <w:t>(</w:t>
      </w:r>
      <w:bookmarkEnd w:id="14"/>
      <w:r>
        <w:t xml:space="preserve">след обработка на данни) – отговаря за структуриране данните за анализа под ръководството на ключовите експерти. Създаване на база данни за целите на настоящия анализ. </w:t>
      </w:r>
    </w:p>
    <w:p w14:paraId="0FB19507" w14:textId="5991EF6F" w:rsidR="00504BA7" w:rsidRDefault="00504BA7" w:rsidP="00504BA7">
      <w:pPr>
        <w:pStyle w:val="ab"/>
        <w:numPr>
          <w:ilvl w:val="0"/>
          <w:numId w:val="18"/>
        </w:numPr>
        <w:spacing w:line="360" w:lineRule="auto"/>
        <w:jc w:val="both"/>
      </w:pPr>
      <w:bookmarkStart w:id="15" w:name="_Hlk90461319"/>
      <w:r>
        <w:t xml:space="preserve">Редактор и предпечатна подготовка </w:t>
      </w:r>
      <w:bookmarkEnd w:id="15"/>
      <w:r>
        <w:t>– граматична и стилистична проверка на текста и изработка на визия за анкетите – по предварително задание (текст, информация)</w:t>
      </w:r>
      <w:r w:rsidR="00A235D2">
        <w:t>.</w:t>
      </w:r>
    </w:p>
    <w:p w14:paraId="70F43625" w14:textId="77777777" w:rsidR="00341F26" w:rsidRPr="00EA175D" w:rsidRDefault="00341F26" w:rsidP="00EA175D">
      <w:pPr>
        <w:pStyle w:val="1"/>
        <w:numPr>
          <w:ilvl w:val="1"/>
          <w:numId w:val="1"/>
        </w:numPr>
        <w:tabs>
          <w:tab w:val="left" w:pos="993"/>
        </w:tabs>
        <w:spacing w:line="360" w:lineRule="auto"/>
        <w:ind w:left="0" w:firstLine="567"/>
        <w:jc w:val="both"/>
        <w:rPr>
          <w:rFonts w:ascii="Times New Roman" w:hAnsi="Times New Roman" w:cs="Times New Roman"/>
          <w:color w:val="auto"/>
          <w:sz w:val="24"/>
          <w:szCs w:val="24"/>
        </w:rPr>
      </w:pPr>
      <w:bookmarkStart w:id="16" w:name="_Организиране_на_работата"/>
      <w:bookmarkEnd w:id="16"/>
      <w:r w:rsidRPr="00EA175D">
        <w:rPr>
          <w:rFonts w:ascii="Times New Roman" w:hAnsi="Times New Roman" w:cs="Times New Roman"/>
          <w:color w:val="auto"/>
          <w:sz w:val="24"/>
          <w:szCs w:val="24"/>
        </w:rPr>
        <w:t>Организиране на работата</w:t>
      </w:r>
      <w:bookmarkEnd w:id="6"/>
    </w:p>
    <w:p w14:paraId="74EA2A3D" w14:textId="4E9B5C5A" w:rsidR="00341F26" w:rsidRPr="00EA175D" w:rsidRDefault="00B35669" w:rsidP="00265B48">
      <w:pPr>
        <w:spacing w:line="360" w:lineRule="auto"/>
        <w:ind w:left="284" w:firstLine="425"/>
        <w:jc w:val="both"/>
      </w:pPr>
      <w:r w:rsidRPr="00EA175D">
        <w:t>За целите на извършване на настоящата оценка Изпълнителят разполага освен с описаните по-горе квалифицирани експерти, също и с необходимата техническа база.  Изпълнителят разполага с офис (адрес</w:t>
      </w:r>
      <w:r w:rsidR="00E15A5E" w:rsidRPr="00EA175D">
        <w:t xml:space="preserve">) гр. София, жк. Младост 4, бл. 411, вх. 2, ет. 1 , ап. 3, </w:t>
      </w:r>
      <w:r w:rsidRPr="00EA175D">
        <w:t xml:space="preserve">където има необходимите условия за работа на членовете на екипа. Изпълнителят разполага с необходимото техническо обезпечение за извършване на работата по настоящата оценка, като то ще бъде на разположение на екипа през цялото време на изпълнение на заданието. В допълнение Изпълнителят осигурява </w:t>
      </w:r>
      <w:r w:rsidR="00C21BBD" w:rsidRPr="00EA175D">
        <w:t xml:space="preserve">1 лице на длъжност </w:t>
      </w:r>
      <w:r w:rsidRPr="00EA175D">
        <w:t>технически сътрудник</w:t>
      </w:r>
      <w:r w:rsidR="00C21BBD" w:rsidRPr="00EA175D">
        <w:t xml:space="preserve"> </w:t>
      </w:r>
      <w:r w:rsidRPr="00EA175D">
        <w:t>за обработка на документите</w:t>
      </w:r>
      <w:r w:rsidR="00C21BBD" w:rsidRPr="00EA175D">
        <w:t xml:space="preserve"> и 1 лице </w:t>
      </w:r>
      <w:r w:rsidRPr="00EA175D">
        <w:t>за координация на дейностите на отделните експерти, за връзка с Възложителя</w:t>
      </w:r>
      <w:r w:rsidR="00C21BBD" w:rsidRPr="00EA175D">
        <w:t xml:space="preserve">. </w:t>
      </w:r>
      <w:r w:rsidR="00341F26" w:rsidRPr="005D2E0C">
        <w:rPr>
          <w:i/>
        </w:rPr>
        <w:t>Комуникация с Възложителя</w:t>
      </w:r>
      <w:r w:rsidR="00C21BBD" w:rsidRPr="005D2E0C">
        <w:rPr>
          <w:i/>
        </w:rPr>
        <w:t>.</w:t>
      </w:r>
    </w:p>
    <w:p w14:paraId="566353B4" w14:textId="3514EC1D" w:rsidR="00AF256C" w:rsidRPr="00EA175D" w:rsidRDefault="00B35669" w:rsidP="00265B48">
      <w:pPr>
        <w:spacing w:line="360" w:lineRule="auto"/>
        <w:ind w:left="284"/>
        <w:jc w:val="both"/>
      </w:pPr>
      <w:r w:rsidRPr="00EA175D">
        <w:t xml:space="preserve">След подписване на договора за изпълнение на </w:t>
      </w:r>
      <w:r w:rsidR="00D80E28" w:rsidRPr="00EA175D">
        <w:t>обществена поръчка за „Текуща оценка на подхода ЛИДЕР и подхода ВОМР от ПРСР (2014 – 2020 г.) до 2020 г.“</w:t>
      </w:r>
      <w:r w:rsidR="00A475CE" w:rsidRPr="00EA175D">
        <w:t xml:space="preserve"> </w:t>
      </w:r>
      <w:r w:rsidR="00AF256C" w:rsidRPr="00EA175D">
        <w:t xml:space="preserve">на </w:t>
      </w:r>
      <w:r w:rsidR="00C21BBD" w:rsidRPr="00EA175D">
        <w:t xml:space="preserve">07.09.2021г. </w:t>
      </w:r>
      <w:r w:rsidR="00AF256C" w:rsidRPr="00EA175D">
        <w:t xml:space="preserve">Министерството на земеделието, храните и горите беше проведена среща с представители на Възложителя (отдел ВОМР на дирекция „Развитие на селските райони“), на която беше обсъдена организацията на взаимодействието между </w:t>
      </w:r>
      <w:r w:rsidR="00AF256C" w:rsidRPr="00EA175D">
        <w:lastRenderedPageBreak/>
        <w:t>експертите на Изпълнителя и Възложителя в процеса на изпълнение на задачата. Беше постигнато пълно съгласие по всички разгледани теми, като експертите на Изпълнителя бяха уверени за пълно съдействие от страна на Възложителя.</w:t>
      </w:r>
    </w:p>
    <w:p w14:paraId="0BD87CED" w14:textId="77777777" w:rsidR="00C74E6A" w:rsidRPr="00EA175D" w:rsidRDefault="00AF256C" w:rsidP="00265B48">
      <w:pPr>
        <w:spacing w:line="360" w:lineRule="auto"/>
        <w:ind w:left="284"/>
        <w:jc w:val="both"/>
      </w:pPr>
      <w:r w:rsidRPr="00EA175D">
        <w:t>За изпълнение на цитираната по-горе обществена поръчка Изпълнителят изиска необходимата от Въложителя информация с писма, както следва:</w:t>
      </w:r>
      <w:r w:rsidR="00C74E6A" w:rsidRPr="00EA175D">
        <w:t xml:space="preserve"> </w:t>
      </w:r>
    </w:p>
    <w:p w14:paraId="63920576" w14:textId="276CF024" w:rsidR="00C74E6A" w:rsidRPr="00EA175D" w:rsidRDefault="00C74E6A" w:rsidP="00265B48">
      <w:pPr>
        <w:spacing w:line="360" w:lineRule="auto"/>
        <w:ind w:left="284"/>
        <w:jc w:val="both"/>
      </w:pPr>
      <w:r w:rsidRPr="00EA175D">
        <w:t>П</w:t>
      </w:r>
      <w:r w:rsidR="00AF256C" w:rsidRPr="00EA175D">
        <w:t xml:space="preserve">исмо </w:t>
      </w:r>
      <w:r w:rsidR="00C21BBD" w:rsidRPr="00EA175D">
        <w:t xml:space="preserve">от 28.09.2021г. </w:t>
      </w:r>
      <w:r w:rsidR="00AF256C" w:rsidRPr="00EA175D">
        <w:t>за информация относно</w:t>
      </w:r>
      <w:r w:rsidRPr="00EA175D">
        <w:t xml:space="preserve">: </w:t>
      </w:r>
    </w:p>
    <w:p w14:paraId="6706465B" w14:textId="3932B92B" w:rsidR="00C74E6A" w:rsidRPr="00EA175D" w:rsidRDefault="00C74E6A" w:rsidP="00265B48">
      <w:pPr>
        <w:pStyle w:val="ab"/>
        <w:numPr>
          <w:ilvl w:val="0"/>
          <w:numId w:val="4"/>
        </w:numPr>
        <w:spacing w:line="360" w:lineRule="auto"/>
        <w:ind w:left="284" w:firstLine="0"/>
        <w:jc w:val="both"/>
      </w:pPr>
      <w:r w:rsidRPr="00EA175D">
        <w:t xml:space="preserve">Брой на одобрените МИГ-ове. Необходима е пълна информация за одобрените МИГ-ове (структура, щатове, представителност </w:t>
      </w:r>
      <w:r w:rsidR="00A235D2">
        <w:t xml:space="preserve">на </w:t>
      </w:r>
      <w:r w:rsidR="00A235D2" w:rsidRPr="00EA175D">
        <w:t xml:space="preserve">местната </w:t>
      </w:r>
      <w:r w:rsidRPr="00EA175D">
        <w:t>влас</w:t>
      </w:r>
      <w:r w:rsidR="00A235D2">
        <w:t>т</w:t>
      </w:r>
      <w:r w:rsidRPr="00EA175D">
        <w:t xml:space="preserve"> в управителните съвети и общите събрания на МИГ)</w:t>
      </w:r>
      <w:r w:rsidR="00A235D2">
        <w:t>;</w:t>
      </w:r>
    </w:p>
    <w:p w14:paraId="76C5EF51" w14:textId="77777777" w:rsidR="00C74E6A" w:rsidRPr="00EA175D" w:rsidRDefault="00C74E6A" w:rsidP="00265B48">
      <w:pPr>
        <w:pStyle w:val="ab"/>
        <w:numPr>
          <w:ilvl w:val="0"/>
          <w:numId w:val="4"/>
        </w:numPr>
        <w:spacing w:line="360" w:lineRule="auto"/>
        <w:ind w:left="284" w:firstLine="0"/>
        <w:jc w:val="both"/>
      </w:pPr>
      <w:r w:rsidRPr="00EA175D">
        <w:t>Договорирани проекти по всеки един от МИГ-овете за всяка една от мерките приети в Стратегията;</w:t>
      </w:r>
    </w:p>
    <w:p w14:paraId="227AE399" w14:textId="77777777" w:rsidR="00C74E6A" w:rsidRPr="00EA175D" w:rsidRDefault="00C74E6A" w:rsidP="00265B48">
      <w:pPr>
        <w:pStyle w:val="ab"/>
        <w:numPr>
          <w:ilvl w:val="0"/>
          <w:numId w:val="4"/>
        </w:numPr>
        <w:spacing w:line="360" w:lineRule="auto"/>
        <w:ind w:left="284" w:firstLine="0"/>
        <w:jc w:val="both"/>
      </w:pPr>
      <w:r w:rsidRPr="00EA175D">
        <w:t>Подписани договори и процес на изпъленение на договорите;</w:t>
      </w:r>
    </w:p>
    <w:p w14:paraId="5F7A3115" w14:textId="77777777" w:rsidR="00C74E6A" w:rsidRPr="00EA175D" w:rsidRDefault="00C74E6A" w:rsidP="00265B48">
      <w:pPr>
        <w:pStyle w:val="ab"/>
        <w:numPr>
          <w:ilvl w:val="0"/>
          <w:numId w:val="4"/>
        </w:numPr>
        <w:spacing w:line="360" w:lineRule="auto"/>
        <w:ind w:left="284" w:firstLine="0"/>
        <w:jc w:val="both"/>
      </w:pPr>
      <w:r w:rsidRPr="00EA175D">
        <w:t>Финализирани проекти и изплатени средства за всеки един от МИГ-овете;</w:t>
      </w:r>
    </w:p>
    <w:p w14:paraId="6DB9DDEC" w14:textId="69F6839B" w:rsidR="00C74E6A" w:rsidRPr="00EA175D" w:rsidRDefault="00C74E6A" w:rsidP="00265B48">
      <w:pPr>
        <w:pStyle w:val="ab"/>
        <w:numPr>
          <w:ilvl w:val="0"/>
          <w:numId w:val="4"/>
        </w:numPr>
        <w:spacing w:line="360" w:lineRule="auto"/>
        <w:ind w:left="284" w:firstLine="0"/>
        <w:jc w:val="both"/>
      </w:pPr>
      <w:r w:rsidRPr="00EA175D">
        <w:t>Постигнати общи инд</w:t>
      </w:r>
      <w:r w:rsidR="00A235D2">
        <w:t>и</w:t>
      </w:r>
      <w:r w:rsidRPr="00EA175D">
        <w:t xml:space="preserve">катори за изпълнение на Стратегиите и ако има промяна в индикаторите – какви са причините; </w:t>
      </w:r>
    </w:p>
    <w:p w14:paraId="0E83AB23" w14:textId="781C3975" w:rsidR="00C74E6A" w:rsidRPr="00EA175D" w:rsidRDefault="00C74E6A" w:rsidP="00265B48">
      <w:pPr>
        <w:pStyle w:val="ab"/>
        <w:numPr>
          <w:ilvl w:val="0"/>
          <w:numId w:val="4"/>
        </w:numPr>
        <w:spacing w:line="360" w:lineRule="auto"/>
        <w:ind w:left="284" w:firstLine="0"/>
        <w:jc w:val="both"/>
      </w:pPr>
      <w:r w:rsidRPr="00EA175D">
        <w:t>Количествени показатели за оценка на работата на МИГ-овете: извършени</w:t>
      </w:r>
      <w:r w:rsidR="00A235D2">
        <w:t>т</w:t>
      </w:r>
      <w:r w:rsidRPr="00EA175D">
        <w:t>е обучения и информационни кампании); администаративен капацитет на МИГ-</w:t>
      </w:r>
      <w:r w:rsidR="00A235D2">
        <w:t>о</w:t>
      </w:r>
      <w:r w:rsidRPr="00EA175D">
        <w:t>вете ( заети, текучество, Управителни съвети); работа в ИСУН – ефективност и възникнали проблеми;</w:t>
      </w:r>
    </w:p>
    <w:p w14:paraId="6C490FB1" w14:textId="42CDE6EE" w:rsidR="00C74E6A" w:rsidRPr="00EA175D" w:rsidRDefault="00C74E6A" w:rsidP="00265B48">
      <w:pPr>
        <w:pStyle w:val="ab"/>
        <w:numPr>
          <w:ilvl w:val="0"/>
          <w:numId w:val="4"/>
        </w:numPr>
        <w:spacing w:line="360" w:lineRule="auto"/>
        <w:ind w:left="284" w:firstLine="0"/>
        <w:jc w:val="both"/>
      </w:pPr>
      <w:r w:rsidRPr="00EA175D">
        <w:t>Приети пр</w:t>
      </w:r>
      <w:r w:rsidR="00E30F50">
        <w:t>о</w:t>
      </w:r>
      <w:r w:rsidRPr="00EA175D">
        <w:t>екти по подмярка 19.1 – Малки пилотни пр</w:t>
      </w:r>
      <w:r w:rsidR="00E30F50">
        <w:t>о</w:t>
      </w:r>
      <w:r w:rsidRPr="00EA175D">
        <w:t>екти по подмярка 19.1 „Помощ за подготвителни дейности“. Договориране;</w:t>
      </w:r>
    </w:p>
    <w:p w14:paraId="49EBD90F" w14:textId="77777777" w:rsidR="00C74E6A" w:rsidRPr="00EA175D" w:rsidRDefault="00C74E6A" w:rsidP="00265B48">
      <w:pPr>
        <w:pStyle w:val="ab"/>
        <w:numPr>
          <w:ilvl w:val="0"/>
          <w:numId w:val="4"/>
        </w:numPr>
        <w:spacing w:line="360" w:lineRule="auto"/>
        <w:ind w:left="284" w:firstLine="0"/>
        <w:jc w:val="both"/>
      </w:pPr>
      <w:r w:rsidRPr="00EA175D">
        <w:t>Договори и изпълнение на подмярка 19.3 „Подготовка и изпълнение на дейностите за сътрудничество на местните инициативни групи“.</w:t>
      </w:r>
    </w:p>
    <w:p w14:paraId="53EB1549" w14:textId="7EB15550" w:rsidR="00FC0D3F" w:rsidRPr="00EA175D" w:rsidRDefault="00C74E6A" w:rsidP="00265B48">
      <w:pPr>
        <w:pStyle w:val="ab"/>
        <w:numPr>
          <w:ilvl w:val="0"/>
          <w:numId w:val="4"/>
        </w:numPr>
        <w:spacing w:line="360" w:lineRule="auto"/>
        <w:ind w:left="284" w:firstLine="0"/>
        <w:jc w:val="both"/>
      </w:pPr>
      <w:r w:rsidRPr="00EA175D">
        <w:t>П</w:t>
      </w:r>
      <w:r w:rsidR="00AF256C" w:rsidRPr="00EA175D">
        <w:t xml:space="preserve">исмо </w:t>
      </w:r>
      <w:r w:rsidRPr="00EA175D">
        <w:t>от 18.10.2021г.  във връзка с Дейност №</w:t>
      </w:r>
      <w:r w:rsidR="00A235D2">
        <w:t xml:space="preserve"> </w:t>
      </w:r>
      <w:r w:rsidRPr="00EA175D">
        <w:t xml:space="preserve">2 </w:t>
      </w:r>
      <w:r w:rsidR="00FC0D3F" w:rsidRPr="00EA175D">
        <w:t>: „Набиране на необходимите данни – набиране на информацията, необходима за осигуряване на отговор на въпросите за оценка. Провеждане на допълнителни проучвания за верифицирането на данните от мониторинговата система и събиране на допълнителна информация“ за съгласуване на</w:t>
      </w:r>
      <w:r w:rsidR="00AF256C" w:rsidRPr="00EA175D">
        <w:t xml:space="preserve"> </w:t>
      </w:r>
      <w:r w:rsidR="00FC0D3F" w:rsidRPr="00EA175D">
        <w:t>два вида проучвания, които Интелект Консулт Плюс-ЦМ ЕООД, в качеството си на изпълнител предвижа да проведе.</w:t>
      </w:r>
    </w:p>
    <w:p w14:paraId="34DD4D18" w14:textId="1F9FD41F" w:rsidR="00FC0D3F" w:rsidRPr="00EA175D" w:rsidRDefault="00FC0D3F" w:rsidP="00265B48">
      <w:pPr>
        <w:pStyle w:val="ab"/>
        <w:numPr>
          <w:ilvl w:val="0"/>
          <w:numId w:val="4"/>
        </w:numPr>
        <w:spacing w:line="360" w:lineRule="auto"/>
        <w:ind w:left="284" w:firstLine="0"/>
        <w:jc w:val="both"/>
      </w:pPr>
      <w:r w:rsidRPr="00EA175D">
        <w:lastRenderedPageBreak/>
        <w:t>1.</w:t>
      </w:r>
      <w:r w:rsidRPr="00EA175D">
        <w:tab/>
        <w:t xml:space="preserve">Анкетна карта за проучване на мнението на местни инициативни групи, изпълняващи подхода Водено от общностите местно развитие за периода 2014 – 2020 г. –  предназначена за 64 бр. местни инициативни групи. </w:t>
      </w:r>
    </w:p>
    <w:p w14:paraId="00B39D7C" w14:textId="449042ED" w:rsidR="009E6C8F" w:rsidRPr="00EA175D" w:rsidRDefault="00FC0D3F" w:rsidP="00265B48">
      <w:pPr>
        <w:pStyle w:val="ab"/>
        <w:numPr>
          <w:ilvl w:val="0"/>
          <w:numId w:val="4"/>
        </w:numPr>
        <w:spacing w:line="360" w:lineRule="auto"/>
        <w:ind w:left="284" w:firstLine="0"/>
        <w:jc w:val="both"/>
      </w:pPr>
      <w:r w:rsidRPr="00EA175D">
        <w:t>2.</w:t>
      </w:r>
      <w:r w:rsidRPr="00EA175D">
        <w:tab/>
        <w:t xml:space="preserve">Анкетна карта за проучване на мнението на представители на местните общности от териториите на 64 местни инициативни групи, изпълняващи подхода Водено от общностите местно развитие за периода 2014 – 2020 г.за земеделски стопани  - предвидени по  10 броя за МИГ – общо 640 бр. </w:t>
      </w:r>
      <w:r w:rsidR="00C74E6A" w:rsidRPr="00EA175D">
        <w:t>ва вида анкентни проучвания</w:t>
      </w:r>
      <w:r w:rsidRPr="00EA175D">
        <w:t xml:space="preserve"> на електронен и хартиен носител</w:t>
      </w:r>
      <w:r w:rsidR="005C7B44" w:rsidRPr="00EA175D">
        <w:t>.</w:t>
      </w:r>
    </w:p>
    <w:p w14:paraId="28918002" w14:textId="6E9CF375" w:rsidR="00341F26" w:rsidRPr="00EA175D" w:rsidRDefault="00341F26" w:rsidP="00EA175D">
      <w:pPr>
        <w:pStyle w:val="1"/>
        <w:numPr>
          <w:ilvl w:val="1"/>
          <w:numId w:val="1"/>
        </w:numPr>
        <w:tabs>
          <w:tab w:val="left" w:pos="993"/>
        </w:tabs>
        <w:spacing w:line="360" w:lineRule="auto"/>
        <w:ind w:left="0" w:firstLine="567"/>
        <w:jc w:val="both"/>
        <w:rPr>
          <w:rFonts w:ascii="Times New Roman" w:hAnsi="Times New Roman" w:cs="Times New Roman"/>
          <w:color w:val="auto"/>
          <w:sz w:val="24"/>
          <w:szCs w:val="24"/>
        </w:rPr>
      </w:pPr>
      <w:bookmarkStart w:id="17" w:name="_Toc93489770"/>
      <w:r w:rsidRPr="00EA175D">
        <w:rPr>
          <w:rFonts w:ascii="Times New Roman" w:hAnsi="Times New Roman" w:cs="Times New Roman"/>
          <w:color w:val="auto"/>
          <w:sz w:val="24"/>
          <w:szCs w:val="24"/>
        </w:rPr>
        <w:lastRenderedPageBreak/>
        <w:t>Трудности и предизвикателства</w:t>
      </w:r>
      <w:bookmarkEnd w:id="17"/>
    </w:p>
    <w:p w14:paraId="3371E727" w14:textId="77777777" w:rsidR="00EA175D" w:rsidRDefault="002438C7" w:rsidP="00EA175D">
      <w:pPr>
        <w:pStyle w:val="1"/>
        <w:tabs>
          <w:tab w:val="left" w:pos="993"/>
        </w:tabs>
        <w:spacing w:line="360" w:lineRule="auto"/>
        <w:ind w:left="710"/>
        <w:jc w:val="both"/>
        <w:rPr>
          <w:rFonts w:ascii="Times New Roman" w:eastAsia="Calibri" w:hAnsi="Times New Roman" w:cs="Times New Roman"/>
          <w:b w:val="0"/>
          <w:bCs w:val="0"/>
          <w:color w:val="auto"/>
          <w:sz w:val="24"/>
          <w:szCs w:val="24"/>
        </w:rPr>
      </w:pPr>
      <w:bookmarkStart w:id="18" w:name="_Toc93489771"/>
      <w:r w:rsidRPr="00EA175D">
        <w:rPr>
          <w:rFonts w:ascii="Times New Roman" w:eastAsia="Calibri" w:hAnsi="Times New Roman" w:cs="Times New Roman"/>
          <w:b w:val="0"/>
          <w:bCs w:val="0"/>
          <w:color w:val="auto"/>
          <w:sz w:val="24"/>
          <w:szCs w:val="24"/>
        </w:rPr>
        <w:t>Трудности и предизвикателства</w:t>
      </w:r>
      <w:bookmarkEnd w:id="18"/>
    </w:p>
    <w:p w14:paraId="561F872C" w14:textId="6826CC20" w:rsidR="002438C7" w:rsidRPr="00EA175D" w:rsidRDefault="002438C7" w:rsidP="00EA175D">
      <w:pPr>
        <w:pStyle w:val="1"/>
        <w:tabs>
          <w:tab w:val="left" w:pos="993"/>
        </w:tabs>
        <w:spacing w:line="360" w:lineRule="auto"/>
        <w:ind w:left="710"/>
        <w:jc w:val="both"/>
        <w:rPr>
          <w:rFonts w:ascii="Times New Roman" w:eastAsia="Calibri" w:hAnsi="Times New Roman" w:cs="Times New Roman"/>
          <w:b w:val="0"/>
          <w:bCs w:val="0"/>
          <w:color w:val="auto"/>
          <w:sz w:val="24"/>
          <w:szCs w:val="24"/>
        </w:rPr>
      </w:pPr>
      <w:bookmarkStart w:id="19" w:name="_Toc93489772"/>
      <w:r w:rsidRPr="00EA175D">
        <w:rPr>
          <w:rFonts w:ascii="Times New Roman" w:eastAsia="Calibri" w:hAnsi="Times New Roman" w:cs="Times New Roman"/>
          <w:b w:val="0"/>
          <w:bCs w:val="0"/>
          <w:color w:val="auto"/>
          <w:sz w:val="24"/>
          <w:szCs w:val="24"/>
        </w:rPr>
        <w:t>При изпълнение на дейностите, обекта на обществената поръчка екипът се справи с немалко трудности и предизвикателства.</w:t>
      </w:r>
      <w:bookmarkEnd w:id="19"/>
      <w:r w:rsidRPr="00EA175D">
        <w:rPr>
          <w:rFonts w:ascii="Times New Roman" w:eastAsia="Calibri" w:hAnsi="Times New Roman" w:cs="Times New Roman"/>
          <w:b w:val="0"/>
          <w:bCs w:val="0"/>
          <w:color w:val="auto"/>
          <w:sz w:val="24"/>
          <w:szCs w:val="24"/>
        </w:rPr>
        <w:t xml:space="preserve"> </w:t>
      </w:r>
    </w:p>
    <w:p w14:paraId="129197A7" w14:textId="7021166B" w:rsidR="002438C7" w:rsidRPr="00EA175D" w:rsidRDefault="002438C7" w:rsidP="00EA175D">
      <w:pPr>
        <w:pStyle w:val="1"/>
        <w:tabs>
          <w:tab w:val="left" w:pos="993"/>
        </w:tabs>
        <w:spacing w:line="360" w:lineRule="auto"/>
        <w:ind w:left="710"/>
        <w:jc w:val="both"/>
        <w:rPr>
          <w:rFonts w:ascii="Times New Roman" w:eastAsia="Calibri" w:hAnsi="Times New Roman" w:cs="Times New Roman"/>
          <w:b w:val="0"/>
          <w:bCs w:val="0"/>
          <w:color w:val="auto"/>
          <w:sz w:val="24"/>
          <w:szCs w:val="24"/>
        </w:rPr>
      </w:pPr>
      <w:bookmarkStart w:id="20" w:name="_Toc93489773"/>
      <w:r w:rsidRPr="00EA175D">
        <w:rPr>
          <w:rFonts w:ascii="Times New Roman" w:eastAsia="Calibri" w:hAnsi="Times New Roman" w:cs="Times New Roman"/>
          <w:b w:val="0"/>
          <w:bCs w:val="0"/>
          <w:color w:val="auto"/>
          <w:sz w:val="24"/>
          <w:szCs w:val="24"/>
        </w:rPr>
        <w:t xml:space="preserve">Институциите, които следваше да предоставят информация за изпълнение на дейностите изпълниха своите ангажименти в сравнително кратък период. Бе събрана и обработена огромен обем информация, която следваше не само да се анализира, но и в същото време да бъде приведена във вид, </w:t>
      </w:r>
      <w:r w:rsidR="00EE4267" w:rsidRPr="00EA175D">
        <w:rPr>
          <w:rFonts w:ascii="Times New Roman" w:eastAsia="Calibri" w:hAnsi="Times New Roman" w:cs="Times New Roman"/>
          <w:b w:val="0"/>
          <w:bCs w:val="0"/>
          <w:color w:val="auto"/>
          <w:sz w:val="24"/>
          <w:szCs w:val="24"/>
        </w:rPr>
        <w:t>ко</w:t>
      </w:r>
      <w:r w:rsidR="00EE4267">
        <w:rPr>
          <w:rFonts w:ascii="Times New Roman" w:eastAsia="Calibri" w:hAnsi="Times New Roman" w:cs="Times New Roman"/>
          <w:b w:val="0"/>
          <w:bCs w:val="0"/>
          <w:color w:val="auto"/>
          <w:sz w:val="24"/>
          <w:szCs w:val="24"/>
        </w:rPr>
        <w:t>й</w:t>
      </w:r>
      <w:r w:rsidR="00EE4267" w:rsidRPr="00EA175D">
        <w:rPr>
          <w:rFonts w:ascii="Times New Roman" w:eastAsia="Calibri" w:hAnsi="Times New Roman" w:cs="Times New Roman"/>
          <w:b w:val="0"/>
          <w:bCs w:val="0"/>
          <w:color w:val="auto"/>
          <w:sz w:val="24"/>
          <w:szCs w:val="24"/>
        </w:rPr>
        <w:t xml:space="preserve">то </w:t>
      </w:r>
      <w:r w:rsidRPr="00EA175D">
        <w:rPr>
          <w:rFonts w:ascii="Times New Roman" w:eastAsia="Calibri" w:hAnsi="Times New Roman" w:cs="Times New Roman"/>
          <w:b w:val="0"/>
          <w:bCs w:val="0"/>
          <w:color w:val="auto"/>
          <w:sz w:val="24"/>
          <w:szCs w:val="24"/>
        </w:rPr>
        <w:t>може да се публикува. Предвид актуалността на анализа, последните данни, които се ползваха бяха към 30.09.2021 г. За изпълнение на тези дейности бе мобилизиран допълнителен екип от технически сътрудници, които успяха в сравнително кратко време да осигурят данни, които могат да се анализират и съответно на базата на които могат да се правят оценки.</w:t>
      </w:r>
      <w:bookmarkEnd w:id="20"/>
    </w:p>
    <w:p w14:paraId="76738E06" w14:textId="77777777" w:rsidR="002438C7" w:rsidRPr="00EA175D" w:rsidRDefault="002438C7" w:rsidP="00EA175D">
      <w:pPr>
        <w:pStyle w:val="1"/>
        <w:tabs>
          <w:tab w:val="left" w:pos="993"/>
        </w:tabs>
        <w:spacing w:line="360" w:lineRule="auto"/>
        <w:ind w:left="710"/>
        <w:jc w:val="both"/>
        <w:rPr>
          <w:rFonts w:ascii="Times New Roman" w:eastAsia="Calibri" w:hAnsi="Times New Roman" w:cs="Times New Roman"/>
          <w:b w:val="0"/>
          <w:bCs w:val="0"/>
          <w:color w:val="auto"/>
          <w:sz w:val="24"/>
          <w:szCs w:val="24"/>
        </w:rPr>
      </w:pPr>
      <w:bookmarkStart w:id="21" w:name="_Toc93489774"/>
      <w:r w:rsidRPr="00EA175D">
        <w:rPr>
          <w:rFonts w:ascii="Times New Roman" w:eastAsia="Calibri" w:hAnsi="Times New Roman" w:cs="Times New Roman"/>
          <w:b w:val="0"/>
          <w:bCs w:val="0"/>
          <w:color w:val="auto"/>
          <w:sz w:val="24"/>
          <w:szCs w:val="24"/>
        </w:rPr>
        <w:t>Събирането и обработването на анкетите, които бяха важна част от изследваните, също може да се оцени като предизвикателство. Бяха анкетирани 640 души, като целта бе да се проучи мнението на населението от териториите на МИГ, изпълняващи стратегиите за ВОМР, относно прилагането на подхода. Анкетата съдържаше 31 въпроса и нейната обработка и анализ изискваше не малко усилия от екипа.</w:t>
      </w:r>
      <w:bookmarkEnd w:id="21"/>
    </w:p>
    <w:p w14:paraId="314DC107" w14:textId="4065FE88" w:rsidR="001C0129" w:rsidRPr="00EA175D" w:rsidRDefault="002438C7" w:rsidP="00EA175D">
      <w:pPr>
        <w:pStyle w:val="1"/>
        <w:tabs>
          <w:tab w:val="left" w:pos="993"/>
        </w:tabs>
        <w:spacing w:line="360" w:lineRule="auto"/>
        <w:ind w:left="710"/>
        <w:jc w:val="both"/>
        <w:rPr>
          <w:rFonts w:ascii="Times New Roman" w:hAnsi="Times New Roman" w:cs="Times New Roman"/>
          <w:color w:val="auto"/>
          <w:sz w:val="24"/>
          <w:szCs w:val="24"/>
        </w:rPr>
      </w:pPr>
      <w:bookmarkStart w:id="22" w:name="_Toc93489775"/>
      <w:r w:rsidRPr="00EA175D">
        <w:rPr>
          <w:rFonts w:ascii="Times New Roman" w:eastAsia="Calibri" w:hAnsi="Times New Roman" w:cs="Times New Roman"/>
          <w:b w:val="0"/>
          <w:bCs w:val="0"/>
          <w:color w:val="auto"/>
          <w:sz w:val="24"/>
          <w:szCs w:val="24"/>
        </w:rPr>
        <w:lastRenderedPageBreak/>
        <w:t xml:space="preserve">Бе проведена анкета за проучване мнението на местните инициативни групи, изпълняващи подхода водени от общностите местно развитие за периода 2014-2020 г. Бяха направени 64 анкети, като въпросите бяха специфични и се търсеше информация относно работата на МИГ с местните общности. В </w:t>
      </w:r>
      <w:r w:rsidR="00D35645" w:rsidRPr="00EA175D">
        <w:rPr>
          <w:rFonts w:ascii="Times New Roman" w:eastAsia="Calibri" w:hAnsi="Times New Roman" w:cs="Times New Roman"/>
          <w:b w:val="0"/>
          <w:bCs w:val="0"/>
          <w:color w:val="auto"/>
          <w:sz w:val="24"/>
          <w:szCs w:val="24"/>
        </w:rPr>
        <w:t>анализ</w:t>
      </w:r>
      <w:r w:rsidR="00D35645">
        <w:rPr>
          <w:rFonts w:ascii="Times New Roman" w:eastAsia="Calibri" w:hAnsi="Times New Roman" w:cs="Times New Roman"/>
          <w:b w:val="0"/>
          <w:bCs w:val="0"/>
          <w:color w:val="auto"/>
          <w:sz w:val="24"/>
          <w:szCs w:val="24"/>
        </w:rPr>
        <w:t>а</w:t>
      </w:r>
      <w:r w:rsidR="00D35645" w:rsidRPr="00EA175D">
        <w:rPr>
          <w:rFonts w:ascii="Times New Roman" w:eastAsia="Calibri" w:hAnsi="Times New Roman" w:cs="Times New Roman"/>
          <w:b w:val="0"/>
          <w:bCs w:val="0"/>
          <w:color w:val="auto"/>
          <w:sz w:val="24"/>
          <w:szCs w:val="24"/>
        </w:rPr>
        <w:t xml:space="preserve"> </w:t>
      </w:r>
      <w:r w:rsidRPr="00EA175D">
        <w:rPr>
          <w:rFonts w:ascii="Times New Roman" w:eastAsia="Calibri" w:hAnsi="Times New Roman" w:cs="Times New Roman"/>
          <w:b w:val="0"/>
          <w:bCs w:val="0"/>
          <w:color w:val="auto"/>
          <w:sz w:val="24"/>
          <w:szCs w:val="24"/>
        </w:rPr>
        <w:t>са включени теми свързани с: оценка на социалното въздействие на подхода ВОМР на територията на прилагане; оценка на ефективността от взаимодействието между заинтересованите страни при прилагането на подхода ВОМР; въпроси свързани с функционирането на МИГ</w:t>
      </w:r>
      <w:bookmarkEnd w:id="22"/>
      <w:r w:rsidR="00A235D2">
        <w:rPr>
          <w:rFonts w:ascii="Times New Roman" w:eastAsia="Calibri" w:hAnsi="Times New Roman" w:cs="Times New Roman"/>
          <w:b w:val="0"/>
          <w:bCs w:val="0"/>
          <w:color w:val="auto"/>
          <w:sz w:val="24"/>
          <w:szCs w:val="24"/>
        </w:rPr>
        <w:t>.</w:t>
      </w:r>
    </w:p>
    <w:p w14:paraId="2764E4B2" w14:textId="05D6C983" w:rsidR="005C216B" w:rsidRPr="00EA175D" w:rsidRDefault="005C216B" w:rsidP="00EA175D">
      <w:pPr>
        <w:pStyle w:val="1"/>
        <w:numPr>
          <w:ilvl w:val="0"/>
          <w:numId w:val="1"/>
        </w:numPr>
        <w:tabs>
          <w:tab w:val="left" w:pos="993"/>
        </w:tabs>
        <w:spacing w:line="360" w:lineRule="auto"/>
        <w:jc w:val="both"/>
        <w:rPr>
          <w:rFonts w:ascii="Times New Roman" w:hAnsi="Times New Roman" w:cs="Times New Roman"/>
          <w:color w:val="auto"/>
          <w:sz w:val="24"/>
          <w:szCs w:val="24"/>
        </w:rPr>
      </w:pPr>
      <w:bookmarkStart w:id="23" w:name="_Toc93489776"/>
      <w:r w:rsidRPr="00EA175D">
        <w:rPr>
          <w:rFonts w:ascii="Times New Roman" w:hAnsi="Times New Roman" w:cs="Times New Roman"/>
          <w:color w:val="auto"/>
          <w:sz w:val="24"/>
          <w:szCs w:val="24"/>
        </w:rPr>
        <w:t>Оценка на  ЛИДЕР и подхода ВОМР</w:t>
      </w:r>
      <w:bookmarkEnd w:id="23"/>
    </w:p>
    <w:p w14:paraId="64A64A9E" w14:textId="39CFCA7A" w:rsidR="00F46353" w:rsidRPr="00EA175D" w:rsidRDefault="00F46353" w:rsidP="00EA175D">
      <w:pPr>
        <w:spacing w:line="360" w:lineRule="auto"/>
        <w:ind w:left="709"/>
        <w:jc w:val="both"/>
      </w:pPr>
      <w:r w:rsidRPr="00EA175D">
        <w:t>Оценката на прилагането на  ЛИДЕР и подхода ВОМР през програмен период 2014 – 2020 г. се извършва съгласно Техническото задание към обществена поръчка за „Текуща оценка на подхода ЛИДЕР и подхода ВОМР от ПРСР (2014 – 2020 г.) до 2020 г.“. В настоящата част на оценката е представена събраната и обработена информация относно прилагането на подхода ЛИДЕР и подхода ВОМР съгласно цитираното Техническо задание. В следващата част на настоящата оценка са посочени и обобщените резултати от извършената оценка, които са съобразени и с препоръките към оценките на подхода ЛИДЕР, представени в Насоките за оценка на LEADER/ВОМР (2017 г.) на Европейската комисия – Генерална дирекция „Земеделие и развитие на селските райони“, Отдел C.4.</w:t>
      </w:r>
    </w:p>
    <w:p w14:paraId="5A8973F3" w14:textId="7A99B8E9" w:rsidR="00C97860" w:rsidRPr="00EA175D" w:rsidRDefault="00C97860" w:rsidP="009F196B">
      <w:pPr>
        <w:pStyle w:val="1"/>
        <w:numPr>
          <w:ilvl w:val="1"/>
          <w:numId w:val="1"/>
        </w:numPr>
        <w:tabs>
          <w:tab w:val="left" w:pos="709"/>
        </w:tabs>
        <w:spacing w:line="360" w:lineRule="auto"/>
        <w:ind w:left="993" w:hanging="284"/>
        <w:jc w:val="both"/>
        <w:rPr>
          <w:rFonts w:ascii="Times New Roman" w:hAnsi="Times New Roman" w:cs="Times New Roman"/>
          <w:b w:val="0"/>
          <w:bCs w:val="0"/>
          <w:sz w:val="24"/>
          <w:szCs w:val="24"/>
        </w:rPr>
      </w:pPr>
      <w:r w:rsidRPr="00EA175D">
        <w:rPr>
          <w:rFonts w:ascii="Times New Roman" w:hAnsi="Times New Roman" w:cs="Times New Roman"/>
          <w:color w:val="auto"/>
          <w:sz w:val="24"/>
          <w:szCs w:val="24"/>
        </w:rPr>
        <w:t xml:space="preserve"> </w:t>
      </w:r>
      <w:bookmarkStart w:id="24" w:name="_Toc93489777"/>
      <w:r w:rsidRPr="00EA175D">
        <w:rPr>
          <w:rFonts w:ascii="Times New Roman" w:hAnsi="Times New Roman" w:cs="Times New Roman"/>
          <w:color w:val="auto"/>
          <w:sz w:val="24"/>
          <w:szCs w:val="24"/>
        </w:rPr>
        <w:t>Обща информация за  ЛИДЕР и подхода ВОМР</w:t>
      </w:r>
      <w:bookmarkEnd w:id="24"/>
    </w:p>
    <w:p w14:paraId="66322856" w14:textId="77777777" w:rsidR="00716656" w:rsidRPr="00EA175D" w:rsidRDefault="00716656" w:rsidP="009F196B">
      <w:pPr>
        <w:tabs>
          <w:tab w:val="left" w:pos="709"/>
        </w:tabs>
        <w:spacing w:line="360" w:lineRule="auto"/>
        <w:ind w:left="709"/>
        <w:jc w:val="both"/>
      </w:pPr>
      <w:r w:rsidRPr="00F77584">
        <w:rPr>
          <w:lang w:val="ru-RU"/>
        </w:rPr>
        <w:t xml:space="preserve">Подходът ЛИДЕР се прилага като иновативен метод за местно развитие, който се използва от 1991 г. за ангажиране на местните участници в разработването и изпълнението на стратегии, вземането на решения и разпределението на ресурсите за развитието на техните селски райони. Абревиатурата ЛИДЕР означава „връзки между дейностите за развитие на селските райони“. Подходът е </w:t>
      </w:r>
      <w:r w:rsidRPr="00F77584">
        <w:rPr>
          <w:lang w:val="ru-RU"/>
        </w:rPr>
        <w:lastRenderedPageBreak/>
        <w:t>инструмент, който работи добре в различни условия и видове райони чрез приспособяване на политиката за развитие на селските райони към огромните различия в нуждите на тези райони. Целта на подхода е местните общности сами да определят приоритети си за развитие, след провеждане на широки консултации със заинтересовани страни от гражданския, неправителствения, стопанския и публичния сектор, изхождайки от факта, че месното население най-добре познава своите проблеми, местните нужди, приоритети и потенциал за развитие.</w:t>
      </w:r>
    </w:p>
    <w:p w14:paraId="2D425D22" w14:textId="23E28465" w:rsidR="00AF158E" w:rsidRPr="00EA175D" w:rsidRDefault="00AF158E" w:rsidP="009F196B">
      <w:pPr>
        <w:tabs>
          <w:tab w:val="left" w:pos="709"/>
        </w:tabs>
        <w:spacing w:line="360" w:lineRule="auto"/>
        <w:ind w:left="709"/>
        <w:jc w:val="both"/>
      </w:pPr>
      <w:r w:rsidRPr="00EA175D">
        <w:t>ЛИДЕР се основава на подхода „отдолу – нагоре”, стъпвайки на разбирането, че поради разнообразието на селските райони в Европа, стратегиите за развитие са много по-ефективни и ефикасни, ако се разработват и прилагат на местно ниво от местните участници. Подходът „отдолу-нагоре" означава, че местните действащи лица участват във вземането на решения за стратегията и избора на приоритети, които да бъдат следвани в местната общност. Политиките в селските райони, които следват този подход, трябва да бъдат подготвяни и изпълнявани по</w:t>
      </w:r>
      <w:r w:rsidR="00D35645">
        <w:t xml:space="preserve"> </w:t>
      </w:r>
      <w:r w:rsidRPr="00EA175D">
        <w:t xml:space="preserve">начин, който е най-подходящ за нуждите на общността, която обслужват. Една от възможностите да се осигури това е чрез включване на местните заинтересовани лица в целия процес на разработване, прилагане и оценка на стратегиите. </w:t>
      </w:r>
    </w:p>
    <w:p w14:paraId="65FBBEC9" w14:textId="77777777" w:rsidR="00AF158E" w:rsidRPr="00EA175D" w:rsidRDefault="00AF158E" w:rsidP="009F196B">
      <w:pPr>
        <w:tabs>
          <w:tab w:val="left" w:pos="709"/>
        </w:tabs>
        <w:spacing w:line="360" w:lineRule="auto"/>
        <w:ind w:left="709"/>
        <w:jc w:val="both"/>
      </w:pPr>
      <w:r w:rsidRPr="00EA175D">
        <w:t xml:space="preserve">Териториалният подход на ЛИДЕР предполага малка, хомогенна, социално свързана територия, често характеризирана от общи традиции, местна идентичност, чувство за принадлежност или общи нужди и очаквания, като целеви район за осъществяване на дадена политика. По този начин се улеснява опознаването на местните силни и слаби страни, заплахи и възможности, вътрешен потенциал и идентифицирането на основните проблеми, забавящи устойчивото развитие. В тази връзка е и изискването населението на територията на МИГ през програмен перод 2007 – 2013 г. да е между 10 000 и 100 000 души, а през програмен период 2014 – 2020 г. – между 10 000 и 150 000 души. </w:t>
      </w:r>
    </w:p>
    <w:p w14:paraId="05D31245" w14:textId="77777777" w:rsidR="00AF158E" w:rsidRPr="00EA175D" w:rsidRDefault="00AF158E" w:rsidP="009F196B">
      <w:pPr>
        <w:tabs>
          <w:tab w:val="left" w:pos="709"/>
        </w:tabs>
        <w:spacing w:line="360" w:lineRule="auto"/>
        <w:ind w:left="709"/>
        <w:jc w:val="both"/>
      </w:pPr>
      <w:r w:rsidRPr="00EA175D">
        <w:t xml:space="preserve">Този подход позволява дейностите да бъдат проектирани по-прецизно, за да отговарят на реалните нужди и на местните конкурентни предимства. Избраният район трябва да бъде еднороден и да има достатъчна критична маса по отношение </w:t>
      </w:r>
      <w:r w:rsidRPr="00EA175D">
        <w:lastRenderedPageBreak/>
        <w:t>на човешки, финансови и икономически ресурси за поддържане на жизнена местна стратегия за развитие.</w:t>
      </w:r>
    </w:p>
    <w:p w14:paraId="0D708E1A" w14:textId="77777777" w:rsidR="00AF158E" w:rsidRPr="00EA175D" w:rsidRDefault="00AF158E" w:rsidP="009F196B">
      <w:pPr>
        <w:tabs>
          <w:tab w:val="left" w:pos="709"/>
        </w:tabs>
        <w:spacing w:line="360" w:lineRule="auto"/>
        <w:ind w:left="709"/>
        <w:jc w:val="both"/>
      </w:pPr>
      <w:r w:rsidRPr="00EA175D">
        <w:t>Установяването на местни партньорства, познато под името „Местна инициативна група" е оригинална и важна черта от подхода ЛИДЕР. МИГ има за цел да идентифицира и осъществи стратегията за местно развитие, като взема решения за разпределянето на финансовите ресурси и управлението им.</w:t>
      </w:r>
    </w:p>
    <w:p w14:paraId="3208354B" w14:textId="77777777" w:rsidR="00AF158E" w:rsidRPr="00EA175D" w:rsidRDefault="00AF158E" w:rsidP="009F196B">
      <w:pPr>
        <w:tabs>
          <w:tab w:val="left" w:pos="709"/>
        </w:tabs>
        <w:spacing w:line="360" w:lineRule="auto"/>
        <w:ind w:left="709"/>
        <w:jc w:val="both"/>
      </w:pPr>
      <w:r w:rsidRPr="00EA175D">
        <w:t>МИГ трябва да обединяват партньорите от публичния и частния сектор, да бъдат добре балансирани и представителни за съществуващите местни групи по интереси, произлезли от различните социално-икономически сектори в района. На ниво на вземане на решения, частните партньори и асоциации трябва да съставляват поне 50% от местното партньорство.</w:t>
      </w:r>
    </w:p>
    <w:p w14:paraId="7FF13A69" w14:textId="77777777" w:rsidR="00AF158E" w:rsidRPr="00EA175D" w:rsidRDefault="00AF158E" w:rsidP="009F196B">
      <w:pPr>
        <w:tabs>
          <w:tab w:val="left" w:pos="709"/>
        </w:tabs>
        <w:spacing w:line="360" w:lineRule="auto"/>
        <w:ind w:left="709"/>
        <w:jc w:val="both"/>
      </w:pPr>
      <w:r w:rsidRPr="00EA175D">
        <w:t>МИГ решават насоките и съдържанието на стратегията за местно развитие и вземат решения за различните проекти, които трябва да се финансират. Реалните плащания се извършват от Разплащателна агенция, която се занимава с публично финансиране, а не от самият МИГ, но на базата на избора на проекти, направен от МИГ.</w:t>
      </w:r>
    </w:p>
    <w:p w14:paraId="645AC8E0" w14:textId="77777777" w:rsidR="00AF158E" w:rsidRPr="00EA175D" w:rsidRDefault="00AF158E" w:rsidP="009F196B">
      <w:pPr>
        <w:tabs>
          <w:tab w:val="left" w:pos="709"/>
        </w:tabs>
        <w:spacing w:line="360" w:lineRule="auto"/>
        <w:ind w:left="709"/>
        <w:jc w:val="both"/>
      </w:pPr>
      <w:r w:rsidRPr="00EA175D">
        <w:t xml:space="preserve">ЛИДЕР може да играе важна роля за стимулиране на нови и новаторски подходи за развитието на селските райони. Новаторството трябва да се разбира в широк смисъл. Може да означава въвеждането на нов продукт, на нов процес, на нова организация или на нов пазар. Новаторството в селските райони може да означава трансфер и адаптиране на иновации, породени другаде, модернизация на традиционни форми на ноу-хау, или намиране на нови решения на устойчиви проблеми на селските райони. </w:t>
      </w:r>
    </w:p>
    <w:p w14:paraId="09D92799" w14:textId="43FDDA21" w:rsidR="00AF158E" w:rsidRPr="00EA175D" w:rsidRDefault="000C20FF" w:rsidP="009F196B">
      <w:pPr>
        <w:tabs>
          <w:tab w:val="left" w:pos="709"/>
        </w:tabs>
        <w:spacing w:line="360" w:lineRule="auto"/>
        <w:ind w:left="709"/>
        <w:jc w:val="both"/>
      </w:pPr>
      <w:r w:rsidRPr="00EA175D">
        <w:t>С</w:t>
      </w:r>
      <w:r w:rsidR="00AF158E" w:rsidRPr="00EA175D">
        <w:t>тратегията за местно развитие трябва да има мулти-секторна (много-отрасл</w:t>
      </w:r>
      <w:r w:rsidR="00884213">
        <w:t>о</w:t>
      </w:r>
      <w:r w:rsidR="00AF158E" w:rsidRPr="00EA175D">
        <w:t xml:space="preserve">ва) насоченост като интегрира няколко сектора на дейности. Дейностите и проектите, съдържащи се в местните стратегии трябва да бъдат свързани и координирани като едно свързано цяло. Интегрирането може да засяга дейности, извършвани в един единствен сектор, всички програмни дейности или специфични групи от </w:t>
      </w:r>
      <w:r w:rsidR="00AF158E" w:rsidRPr="00EA175D">
        <w:lastRenderedPageBreak/>
        <w:t>дейности или, най-важното, връзките между различните икономически, социални, екологични участващи действащи лица и сектори.</w:t>
      </w:r>
    </w:p>
    <w:p w14:paraId="6AD0D379" w14:textId="2547D4D5" w:rsidR="00AF158E" w:rsidRPr="00EA175D" w:rsidRDefault="00AF158E" w:rsidP="009F196B">
      <w:pPr>
        <w:tabs>
          <w:tab w:val="left" w:pos="709"/>
        </w:tabs>
        <w:spacing w:line="360" w:lineRule="auto"/>
        <w:ind w:left="567"/>
        <w:jc w:val="both"/>
      </w:pPr>
      <w:r w:rsidRPr="00EA175D">
        <w:t>Мрежите обхващат обмяна на резултати, опит и ноу-хау между групите по ЛИДЕР, селските райони, администрациите и организациите, участващи в развитието на селските райони в рамките на ЕС, независимо дали са директни бенефициенти по ЛИДЕР. Мрежите са начин за споделяне на добрите практики, за разпространяване на иновациите и надграждане върху уроци, получени от местното развитие на селските райони. Мрежите създават връзки между хора, проекти и селски райони и по този начин могат да спомогнат за преодоляване на изолацията, пред която са изправени някои селски райони.</w:t>
      </w:r>
    </w:p>
    <w:p w14:paraId="684DC051" w14:textId="77777777" w:rsidR="00AF158E" w:rsidRPr="00EA175D" w:rsidRDefault="00AF158E" w:rsidP="009F196B">
      <w:pPr>
        <w:tabs>
          <w:tab w:val="left" w:pos="709"/>
        </w:tabs>
        <w:spacing w:line="360" w:lineRule="auto"/>
        <w:ind w:left="567"/>
        <w:jc w:val="both"/>
      </w:pPr>
      <w:r w:rsidRPr="00EA175D">
        <w:t>Сътрудничеството може да се развие в нещо повече от създаване на контакти. Това включва Местна инициативна група, която предприема общ проект с друга група по ЛИДЕР или с група, използваща подобен подход в друг регион, страна-членка или дори трета страна.</w:t>
      </w:r>
    </w:p>
    <w:p w14:paraId="09D7CAE8" w14:textId="77777777" w:rsidR="0023289E" w:rsidRPr="00EA175D" w:rsidRDefault="00AF158E" w:rsidP="009F196B">
      <w:pPr>
        <w:tabs>
          <w:tab w:val="left" w:pos="709"/>
        </w:tabs>
        <w:spacing w:line="360" w:lineRule="auto"/>
        <w:ind w:left="567"/>
        <w:jc w:val="both"/>
      </w:pPr>
      <w:r w:rsidRPr="00EA175D">
        <w:t>Седемте характерни черти обясняват какво представлява подходът ЛИДЕР. Прилагането на тези принципи в практиката означава, че реални хора планират местните стратегии и участват в дейностите.</w:t>
      </w:r>
    </w:p>
    <w:p w14:paraId="368FD3D7" w14:textId="2774562B" w:rsidR="00716656" w:rsidRPr="00F77584" w:rsidRDefault="00716656" w:rsidP="009F196B">
      <w:pPr>
        <w:tabs>
          <w:tab w:val="left" w:pos="709"/>
        </w:tabs>
        <w:spacing w:line="360" w:lineRule="auto"/>
        <w:ind w:left="567"/>
        <w:jc w:val="both"/>
        <w:rPr>
          <w:lang w:val="ru-RU"/>
        </w:rPr>
      </w:pPr>
      <w:r w:rsidRPr="00F77584">
        <w:rPr>
          <w:lang w:val="ru-RU"/>
        </w:rPr>
        <w:t xml:space="preserve">В резултат на доказаните му ползи и постижения, подходът ЛИДЕР става </w:t>
      </w:r>
      <w:r w:rsidR="00341B15">
        <w:t xml:space="preserve"> </w:t>
      </w:r>
      <w:r w:rsidRPr="00F77584">
        <w:rPr>
          <w:lang w:val="ru-RU"/>
        </w:rPr>
        <w:t>задължителна част от програмите за развитие на селските райони след 2000 г. От 2014 г. европейските регламенти дават възможност този подход да се прилага и в градските райони, поради което се преименува на „Водено от общностите местно развитие“ (ВОМР), тъй като ЛИДЕР се отнася за селските райони. Друга ключова промяна в подхода ЛИДЕР от 2014 г. е възможността за многофондово финансиране на стратегиите за Водено от общността местно развитие.</w:t>
      </w:r>
    </w:p>
    <w:p w14:paraId="46BEA35D" w14:textId="77777777" w:rsidR="00734C88" w:rsidRPr="00EA175D" w:rsidRDefault="00716656" w:rsidP="009F196B">
      <w:pPr>
        <w:tabs>
          <w:tab w:val="left" w:pos="709"/>
        </w:tabs>
        <w:spacing w:line="360" w:lineRule="auto"/>
        <w:ind w:left="567"/>
        <w:jc w:val="both"/>
      </w:pPr>
      <w:r w:rsidRPr="00F77584">
        <w:rPr>
          <w:lang w:val="ru-RU"/>
        </w:rPr>
        <w:t xml:space="preserve">Подходът ЛИДЕР се прилага в България от програмен период 2007 – 2013 г. През него по подхода са изпълнени 90 проекта за подготовка на стратегии за местно развитие, като са одобрени стратегиите на 35 местни инициативни групи (на територия от 25 800 кв. км., включваща 57 общини, с население 810 688 души), които получиха финансиране от Европейския земеделски фонд за развитие на </w:t>
      </w:r>
      <w:r w:rsidRPr="00F77584">
        <w:rPr>
          <w:lang w:val="ru-RU"/>
        </w:rPr>
        <w:lastRenderedPageBreak/>
        <w:t xml:space="preserve">селските райони. Предвид потенциала на подхода ЛИДЕР и въз основа на придобития опит, през програмен период 2014 – 2020 г. е осигурено допълнително финансиране за подхода ЛИДЕР/Водено от общностите местно развитие от Европейския социален фонд и Европейския фонд за регионално развитие. Прилагането на многофондово финансиране на подхода ВОМР осигурява възможности за комплексно многосекторно развитие на териториите на местните общности. През програмния период 2014 – 2020 г. са изпълнени 90 проекта за подготовка на стратегии за ВОМР, като са одобрени </w:t>
      </w:r>
      <w:r w:rsidR="00734C88" w:rsidRPr="00EA175D">
        <w:t xml:space="preserve">за финансиране </w:t>
      </w:r>
      <w:r w:rsidRPr="00F77584">
        <w:rPr>
          <w:lang w:val="ru-RU"/>
        </w:rPr>
        <w:t xml:space="preserve">стратегиите на 64 МИГ (на територия от 53 828 кв. км., включваща 117 общини, с население 1 646 496 души). </w:t>
      </w:r>
      <w:r w:rsidR="00734C88" w:rsidRPr="00EA175D">
        <w:t xml:space="preserve">Общата стойност на договорените средства </w:t>
      </w:r>
      <w:r w:rsidR="0023289E" w:rsidRPr="00EA175D">
        <w:t xml:space="preserve">към МИГ </w:t>
      </w:r>
      <w:r w:rsidR="00734C88" w:rsidRPr="00EA175D">
        <w:t>е в размер на 364 547 800,28 лв.</w:t>
      </w:r>
      <w:r w:rsidR="00E524DA" w:rsidRPr="00EA175D">
        <w:t xml:space="preserve"> По ПРСР 2014 – 2020 г. са договорени 238 304 971,02 лв., по ОПИК 2014 – 2020 г. са договорени </w:t>
      </w:r>
      <w:r w:rsidR="000F7F9B" w:rsidRPr="00EA175D">
        <w:t xml:space="preserve">57 292 540,00 лв., по ОПРЧР 2014 – 2020 г. са договорени </w:t>
      </w:r>
      <w:r w:rsidR="0023289E" w:rsidRPr="00EA175D">
        <w:t>45 324 223,40 лв.</w:t>
      </w:r>
      <w:r w:rsidR="000F7F9B" w:rsidRPr="00EA175D">
        <w:t>, по ОПОС 2014 – 2020 г.</w:t>
      </w:r>
      <w:r w:rsidR="0023289E" w:rsidRPr="00EA175D">
        <w:t xml:space="preserve"> са договорени </w:t>
      </w:r>
      <w:r w:rsidR="003408B6" w:rsidRPr="00EA175D">
        <w:t>13 472 431,06 лв.</w:t>
      </w:r>
      <w:r w:rsidR="000F7F9B" w:rsidRPr="00EA175D">
        <w:t>, по ОПНОИР 2014 – 2020 г. са договорени</w:t>
      </w:r>
      <w:r w:rsidR="003408B6" w:rsidRPr="00EA175D">
        <w:t xml:space="preserve"> 10 153 634,80 лв.</w:t>
      </w:r>
      <w:r w:rsidR="000F7F9B" w:rsidRPr="00EA175D">
        <w:t xml:space="preserve"> </w:t>
      </w:r>
      <w:r w:rsidR="00E524DA" w:rsidRPr="00EA175D">
        <w:t xml:space="preserve"> </w:t>
      </w:r>
    </w:p>
    <w:p w14:paraId="1A8E12D6" w14:textId="77777777" w:rsidR="00961092" w:rsidRPr="00EA175D" w:rsidRDefault="00716656" w:rsidP="009F196B">
      <w:pPr>
        <w:tabs>
          <w:tab w:val="left" w:pos="709"/>
        </w:tabs>
        <w:spacing w:line="360" w:lineRule="auto"/>
        <w:ind w:left="567"/>
        <w:jc w:val="both"/>
      </w:pPr>
      <w:r w:rsidRPr="00F77584">
        <w:rPr>
          <w:lang w:val="ru-RU"/>
        </w:rPr>
        <w:t>Многофондовото финансиране се прилага за стратегиите за ВОМР на 39 МИГ, включващи 72 общини с територия от 32 690,60 кв. км. и население от 1 059 268 жители.</w:t>
      </w:r>
    </w:p>
    <w:p w14:paraId="57754C5F" w14:textId="77777777" w:rsidR="006646E9" w:rsidRPr="00EA175D" w:rsidRDefault="006646E9" w:rsidP="009F196B">
      <w:pPr>
        <w:tabs>
          <w:tab w:val="left" w:pos="709"/>
        </w:tabs>
        <w:spacing w:line="360" w:lineRule="auto"/>
        <w:ind w:left="567"/>
        <w:jc w:val="both"/>
      </w:pPr>
      <w:r w:rsidRPr="00EA175D">
        <w:t>Едно</w:t>
      </w:r>
      <w:r w:rsidRPr="00F77584">
        <w:rPr>
          <w:lang w:val="ru-RU"/>
        </w:rPr>
        <w:t xml:space="preserve">фондовото финансиране се прилага за стратегиите за ВОМР на </w:t>
      </w:r>
      <w:r w:rsidRPr="00EA175D">
        <w:t>25</w:t>
      </w:r>
      <w:r w:rsidRPr="00F77584">
        <w:rPr>
          <w:lang w:val="ru-RU"/>
        </w:rPr>
        <w:t xml:space="preserve"> МИГ, включващи </w:t>
      </w:r>
      <w:r w:rsidRPr="00EA175D">
        <w:t>45</w:t>
      </w:r>
      <w:r w:rsidRPr="00F77584">
        <w:rPr>
          <w:lang w:val="ru-RU"/>
        </w:rPr>
        <w:t xml:space="preserve"> общини с територия от 2</w:t>
      </w:r>
      <w:r w:rsidRPr="00EA175D">
        <w:t>1</w:t>
      </w:r>
      <w:r w:rsidRPr="00F77584">
        <w:rPr>
          <w:lang w:val="ru-RU"/>
        </w:rPr>
        <w:t xml:space="preserve"> </w:t>
      </w:r>
      <w:r w:rsidRPr="00EA175D">
        <w:t>137</w:t>
      </w:r>
      <w:r w:rsidRPr="00F77584">
        <w:rPr>
          <w:lang w:val="ru-RU"/>
        </w:rPr>
        <w:t>,</w:t>
      </w:r>
      <w:r w:rsidRPr="00EA175D">
        <w:t>1</w:t>
      </w:r>
      <w:r w:rsidRPr="00F77584">
        <w:rPr>
          <w:lang w:val="ru-RU"/>
        </w:rPr>
        <w:t>0 кв. км. и население от 5</w:t>
      </w:r>
      <w:r w:rsidRPr="00EA175D">
        <w:t>87</w:t>
      </w:r>
      <w:r w:rsidRPr="00F77584">
        <w:rPr>
          <w:lang w:val="ru-RU"/>
        </w:rPr>
        <w:t xml:space="preserve"> 2</w:t>
      </w:r>
      <w:r w:rsidRPr="00EA175D">
        <w:t>2</w:t>
      </w:r>
      <w:r w:rsidRPr="00F77584">
        <w:rPr>
          <w:lang w:val="ru-RU"/>
        </w:rPr>
        <w:t>8 жители.</w:t>
      </w:r>
    </w:p>
    <w:p w14:paraId="49FFADEE" w14:textId="77777777" w:rsidR="00F46353" w:rsidRPr="00EA175D" w:rsidRDefault="00F46353" w:rsidP="00EA175D">
      <w:pPr>
        <w:pStyle w:val="1"/>
        <w:numPr>
          <w:ilvl w:val="1"/>
          <w:numId w:val="1"/>
        </w:numPr>
        <w:tabs>
          <w:tab w:val="left" w:pos="993"/>
        </w:tabs>
        <w:spacing w:line="360" w:lineRule="auto"/>
        <w:ind w:left="567" w:firstLine="0"/>
        <w:jc w:val="both"/>
        <w:rPr>
          <w:rFonts w:ascii="Times New Roman" w:hAnsi="Times New Roman" w:cs="Times New Roman"/>
          <w:color w:val="auto"/>
          <w:sz w:val="24"/>
          <w:szCs w:val="24"/>
        </w:rPr>
      </w:pPr>
      <w:bookmarkStart w:id="25" w:name="_Toc93489778"/>
      <w:r w:rsidRPr="00EA175D">
        <w:rPr>
          <w:rFonts w:ascii="Times New Roman" w:hAnsi="Times New Roman" w:cs="Times New Roman"/>
          <w:color w:val="auto"/>
          <w:sz w:val="24"/>
          <w:szCs w:val="24"/>
        </w:rPr>
        <w:t>Напредък на процеса на договаряне по подхода ВОМР – открити приеми, одобрени от</w:t>
      </w:r>
      <w:r w:rsidR="00961092" w:rsidRPr="00EA175D">
        <w:rPr>
          <w:rFonts w:ascii="Times New Roman" w:hAnsi="Times New Roman" w:cs="Times New Roman"/>
          <w:color w:val="auto"/>
          <w:sz w:val="24"/>
          <w:szCs w:val="24"/>
        </w:rPr>
        <w:t xml:space="preserve"> МИГ проекти, сключени договори</w:t>
      </w:r>
      <w:bookmarkEnd w:id="25"/>
    </w:p>
    <w:p w14:paraId="70C05FFF" w14:textId="77777777" w:rsidR="009C68BA" w:rsidRPr="00EA175D" w:rsidRDefault="0070525C" w:rsidP="00EA175D">
      <w:pPr>
        <w:spacing w:line="360" w:lineRule="auto"/>
        <w:ind w:left="567"/>
        <w:jc w:val="both"/>
      </w:pPr>
      <w:r w:rsidRPr="00EA175D">
        <w:t>Както е описано в други части на настоящата оценка про</w:t>
      </w:r>
      <w:r w:rsidR="00306350" w:rsidRPr="00EA175D">
        <w:t>ц</w:t>
      </w:r>
      <w:r w:rsidRPr="00EA175D">
        <w:t xml:space="preserve">есът на прилагане на подхода ВОМР в България започва с прилагането на подмярка 19.1 „Помощ за подготвителни дейности“. По нея се </w:t>
      </w:r>
      <w:r w:rsidR="00306350" w:rsidRPr="00EA175D">
        <w:t xml:space="preserve">подкрепя </w:t>
      </w:r>
      <w:r w:rsidRPr="00EA175D">
        <w:t>изготвя</w:t>
      </w:r>
      <w:r w:rsidR="00306350" w:rsidRPr="00EA175D">
        <w:t>не</w:t>
      </w:r>
      <w:r w:rsidRPr="00EA175D">
        <w:t>т</w:t>
      </w:r>
      <w:r w:rsidR="00306350" w:rsidRPr="00EA175D">
        <w:t>о на</w:t>
      </w:r>
      <w:r w:rsidRPr="00EA175D">
        <w:t xml:space="preserve"> стратегиите за Водено от общностите местно развитие, които в последствие се подават за одобрение по откритите от УО на ПРСР 2014 – 2020 г. приеми по подмярка 19.2 </w:t>
      </w:r>
      <w:r w:rsidR="00D9703C" w:rsidRPr="00EA175D">
        <w:lastRenderedPageBreak/>
        <w:t>„Прилагане на операции в рамките на стратегии за Водено от общностите местно развитие”</w:t>
      </w:r>
      <w:r w:rsidR="00AB60D3" w:rsidRPr="00EA175D">
        <w:t>.</w:t>
      </w:r>
    </w:p>
    <w:p w14:paraId="1F2F9FFE" w14:textId="77777777" w:rsidR="003E6DDC" w:rsidRPr="00EA175D" w:rsidRDefault="003E6DDC" w:rsidP="00EA175D">
      <w:pPr>
        <w:pStyle w:val="1"/>
        <w:numPr>
          <w:ilvl w:val="2"/>
          <w:numId w:val="1"/>
        </w:numPr>
        <w:tabs>
          <w:tab w:val="left" w:pos="993"/>
        </w:tabs>
        <w:spacing w:before="0" w:line="360" w:lineRule="auto"/>
        <w:ind w:left="567" w:firstLine="0"/>
        <w:jc w:val="both"/>
        <w:rPr>
          <w:rFonts w:ascii="Times New Roman" w:eastAsia="Calibri" w:hAnsi="Times New Roman" w:cs="Times New Roman"/>
          <w:bCs w:val="0"/>
          <w:color w:val="auto"/>
          <w:sz w:val="24"/>
          <w:szCs w:val="24"/>
        </w:rPr>
      </w:pPr>
      <w:bookmarkStart w:id="26" w:name="_Toc93489779"/>
      <w:r w:rsidRPr="00EA175D">
        <w:rPr>
          <w:rFonts w:ascii="Times New Roman" w:eastAsia="Calibri" w:hAnsi="Times New Roman" w:cs="Times New Roman"/>
          <w:bCs w:val="0"/>
          <w:color w:val="auto"/>
          <w:sz w:val="24"/>
          <w:szCs w:val="24"/>
        </w:rPr>
        <w:t>Сключване на споразумения за одобрение на стратегии за ВОМР</w:t>
      </w:r>
      <w:bookmarkEnd w:id="26"/>
    </w:p>
    <w:p w14:paraId="01198B8C" w14:textId="77777777" w:rsidR="00306350" w:rsidRPr="00EA175D" w:rsidRDefault="00306350" w:rsidP="00EA175D">
      <w:pPr>
        <w:pStyle w:val="1"/>
        <w:numPr>
          <w:ilvl w:val="3"/>
          <w:numId w:val="1"/>
        </w:numPr>
        <w:tabs>
          <w:tab w:val="left" w:pos="993"/>
        </w:tabs>
        <w:spacing w:before="0" w:line="360" w:lineRule="auto"/>
        <w:ind w:left="567" w:firstLine="0"/>
        <w:jc w:val="both"/>
        <w:rPr>
          <w:rFonts w:ascii="Times New Roman" w:eastAsia="Calibri" w:hAnsi="Times New Roman" w:cs="Times New Roman"/>
          <w:bCs w:val="0"/>
          <w:color w:val="auto"/>
          <w:sz w:val="24"/>
          <w:szCs w:val="24"/>
        </w:rPr>
      </w:pPr>
      <w:bookmarkStart w:id="27" w:name="_Toc93489780"/>
      <w:r w:rsidRPr="00EA175D">
        <w:rPr>
          <w:rFonts w:ascii="Times New Roman" w:eastAsia="Calibri" w:hAnsi="Times New Roman" w:cs="Times New Roman"/>
          <w:bCs w:val="0"/>
          <w:color w:val="auto"/>
          <w:sz w:val="24"/>
          <w:szCs w:val="24"/>
        </w:rPr>
        <w:t>Първи прием за стратегии за ВОМР по подмярка 19.2</w:t>
      </w:r>
      <w:bookmarkEnd w:id="27"/>
    </w:p>
    <w:p w14:paraId="4C0B3D25" w14:textId="7CA5E9BE" w:rsidR="00156DDA" w:rsidRPr="00EA175D" w:rsidRDefault="00AB60D3" w:rsidP="00EA175D">
      <w:pPr>
        <w:spacing w:line="360" w:lineRule="auto"/>
        <w:ind w:left="567"/>
        <w:jc w:val="both"/>
      </w:pPr>
      <w:r w:rsidRPr="00EA175D">
        <w:t xml:space="preserve">Първият </w:t>
      </w:r>
      <w:r w:rsidR="008411DD" w:rsidRPr="00EA175D">
        <w:t>прием за стратегии за ВОМР е проведен от УО на ПРСР в периода 15 февруари 2016 г.  – 31 май 2016 г.</w:t>
      </w:r>
      <w:r w:rsidR="00290B7F" w:rsidRPr="00EA175D">
        <w:t xml:space="preserve"> </w:t>
      </w:r>
      <w:r w:rsidR="00156DDA" w:rsidRPr="00EA175D">
        <w:t xml:space="preserve">Приемът е проведен по условията на Наредба № 22 от 14.12.2015 г. за прилагане на подмярка 19.2 "Прилагане на операции в рамките на стратегии за Водено от общностите местно развитие" на мярка 19 </w:t>
      </w:r>
      <w:r w:rsidR="00EE5714" w:rsidRPr="00EA175D">
        <w:t>„</w:t>
      </w:r>
      <w:r w:rsidR="00156DDA" w:rsidRPr="00EA175D">
        <w:t>Водено от общностите местно развитие</w:t>
      </w:r>
      <w:r w:rsidR="00EE5714" w:rsidRPr="00EA175D">
        <w:t>“</w:t>
      </w:r>
      <w:r w:rsidR="00156DDA" w:rsidRPr="00EA175D">
        <w:t xml:space="preserve"> от Програмата за развитие на селските райони за периода 2014 – 2020 г.</w:t>
      </w:r>
      <w:r w:rsidR="00EE5714" w:rsidRPr="00EA175D">
        <w:t xml:space="preserve"> Наредбата е изготвена от УО на ПРСР 2014 – 2020 г. като е съобразена със спецификата на заявленията по приема, а именно – многофондови стратегии за ВОМР. Това е важно да се отбележи, тъй като към момента на приема ПРСР 2014 – 2020 г. все още не е включена в ИСУН 2020, както и ПМС № 161 все още не е влязло в сила</w:t>
      </w:r>
      <w:r w:rsidR="00B11E18" w:rsidRPr="00EA175D">
        <w:t xml:space="preserve"> за заявленията по този прием</w:t>
      </w:r>
      <w:r w:rsidR="00EE5714" w:rsidRPr="00EA175D">
        <w:t xml:space="preserve">. </w:t>
      </w:r>
    </w:p>
    <w:p w14:paraId="663592A0" w14:textId="77777777" w:rsidR="00AB60D3" w:rsidRPr="00EA175D" w:rsidRDefault="00290B7F" w:rsidP="00EA175D">
      <w:pPr>
        <w:spacing w:line="360" w:lineRule="auto"/>
        <w:ind w:left="567"/>
        <w:jc w:val="both"/>
      </w:pPr>
      <w:r w:rsidRPr="00EA175D">
        <w:t xml:space="preserve">Съгласно чл. 33, пар. 4 от Регламент (ЕС) 1303 </w:t>
      </w:r>
      <w:r w:rsidR="002957B7" w:rsidRPr="00EA175D">
        <w:t>„п</w:t>
      </w:r>
      <w:r w:rsidRPr="00EA175D">
        <w:t>ървият к</w:t>
      </w:r>
      <w:r w:rsidR="002957B7" w:rsidRPr="00EA175D">
        <w:t>ръг от подбора на стратегии за В</w:t>
      </w:r>
      <w:r w:rsidRPr="00EA175D">
        <w:t>одено от общностите местно развитие приключва до две години след датата на одобряване на споразумението за партньорство</w:t>
      </w:r>
      <w:r w:rsidR="002957B7" w:rsidRPr="00EA175D">
        <w:t>“</w:t>
      </w:r>
      <w:r w:rsidRPr="00EA175D">
        <w:t>.</w:t>
      </w:r>
      <w:r w:rsidR="002957B7" w:rsidRPr="00EA175D">
        <w:t xml:space="preserve"> </w:t>
      </w:r>
      <w:r w:rsidR="000D3D22" w:rsidRPr="00EA175D">
        <w:t>След приключване на първия прием за СВОМР, УО на ПРСР 2014 – 2020 г. е извършил оценка и класиране на постъпилите стратегии, като с доклад от комисията за подбор от 02.</w:t>
      </w:r>
      <w:r w:rsidR="00C475BA" w:rsidRPr="00EA175D">
        <w:t xml:space="preserve">08.2016 г. до </w:t>
      </w:r>
      <w:r w:rsidR="009E4FB5" w:rsidRPr="00EA175D">
        <w:t>ръководителя на УО се представят стратегиите, преминали етап на административно съответствие и допустимост, с което се цели изпълнение на цитираното изискване на Регламента за срока на извършване на подбор на стратегии</w:t>
      </w:r>
      <w:r w:rsidR="00A00D0C" w:rsidRPr="00EA175D">
        <w:t xml:space="preserve"> (</w:t>
      </w:r>
      <w:r w:rsidR="009E4FB5" w:rsidRPr="00EA175D">
        <w:t>Споразумението за партньорство е одобрено от ЕК на 07.08.2014 г.</w:t>
      </w:r>
      <w:r w:rsidR="00A00D0C" w:rsidRPr="00EA175D">
        <w:t>).</w:t>
      </w:r>
    </w:p>
    <w:p w14:paraId="3046F5CB" w14:textId="77777777" w:rsidR="004E6F25" w:rsidRPr="00EA175D" w:rsidRDefault="001B73FF" w:rsidP="00EA175D">
      <w:pPr>
        <w:spacing w:line="360" w:lineRule="auto"/>
        <w:ind w:left="567"/>
        <w:jc w:val="both"/>
      </w:pPr>
      <w:r w:rsidRPr="00EA175D">
        <w:t xml:space="preserve">Първият прием за стратегии за ВОМР по подмярка 19.2 е открит с бюджет </w:t>
      </w:r>
      <w:r w:rsidR="004E6F25" w:rsidRPr="00EA175D">
        <w:t xml:space="preserve">от ПРСР 2014 – 2020 г. </w:t>
      </w:r>
      <w:r w:rsidRPr="00EA175D">
        <w:t>от 60 108 917 евро, който впоследствие е увеличен на 76 708 917 евро</w:t>
      </w:r>
      <w:r w:rsidR="004E6F25" w:rsidRPr="00EA175D">
        <w:t xml:space="preserve">; от ОПИК </w:t>
      </w:r>
      <w:r w:rsidR="00E90B47" w:rsidRPr="00EA175D">
        <w:t xml:space="preserve">2014 – 2020 г. </w:t>
      </w:r>
      <w:r w:rsidR="004E6F25" w:rsidRPr="00EA175D">
        <w:t xml:space="preserve">– 53 980 776 евро; от ОПРЧР </w:t>
      </w:r>
      <w:r w:rsidR="00E90B47" w:rsidRPr="00EA175D">
        <w:t xml:space="preserve">2014 – 2020 г. </w:t>
      </w:r>
      <w:r w:rsidR="004E6F25" w:rsidRPr="00EA175D">
        <w:t xml:space="preserve">– </w:t>
      </w:r>
      <w:r w:rsidR="004E6F25" w:rsidRPr="00EA175D">
        <w:rPr>
          <w:bCs/>
          <w:color w:val="000000"/>
        </w:rPr>
        <w:t xml:space="preserve">49 749 189 евро; от ОПОС </w:t>
      </w:r>
      <w:r w:rsidR="00E90B47" w:rsidRPr="00EA175D">
        <w:t xml:space="preserve">2014 – 2020 г. </w:t>
      </w:r>
      <w:r w:rsidR="004E6F25" w:rsidRPr="00EA175D">
        <w:rPr>
          <w:bCs/>
          <w:color w:val="000000"/>
        </w:rPr>
        <w:t>– 19 458 660 евро.</w:t>
      </w:r>
      <w:r w:rsidR="00C4580A" w:rsidRPr="00EA175D">
        <w:rPr>
          <w:bCs/>
          <w:color w:val="000000"/>
        </w:rPr>
        <w:t xml:space="preserve"> Общият размер на средствата, налични по приема са </w:t>
      </w:r>
      <w:r w:rsidR="005439B4" w:rsidRPr="00EA175D">
        <w:rPr>
          <w:bCs/>
          <w:color w:val="000000"/>
        </w:rPr>
        <w:t>199 897 542 евро.</w:t>
      </w:r>
      <w:r w:rsidRPr="00EA175D">
        <w:t xml:space="preserve"> </w:t>
      </w:r>
    </w:p>
    <w:p w14:paraId="2D503547" w14:textId="77777777" w:rsidR="008A3A30" w:rsidRPr="00EA175D" w:rsidRDefault="001B73FF" w:rsidP="00EA175D">
      <w:pPr>
        <w:spacing w:line="360" w:lineRule="auto"/>
        <w:ind w:left="567"/>
        <w:jc w:val="both"/>
      </w:pPr>
      <w:r w:rsidRPr="00EA175D">
        <w:lastRenderedPageBreak/>
        <w:t xml:space="preserve">По </w:t>
      </w:r>
      <w:r w:rsidR="004E6F25" w:rsidRPr="00EA175D">
        <w:t>приемът</w:t>
      </w:r>
      <w:r w:rsidRPr="00EA175D">
        <w:t xml:space="preserve"> са одобрени всички стратегии, преминали етапа на административно съответствие и допустимост, като по този начин е спазено цитираното по-горе изискване на Регламент (ЕС) 1303</w:t>
      </w:r>
      <w:r w:rsidRPr="00F77584">
        <w:rPr>
          <w:lang w:val="ru-RU"/>
        </w:rPr>
        <w:t>/</w:t>
      </w:r>
      <w:r w:rsidRPr="00EA175D">
        <w:t>2013</w:t>
      </w:r>
      <w:r w:rsidR="00155C75" w:rsidRPr="00EA175D">
        <w:t>.</w:t>
      </w:r>
    </w:p>
    <w:p w14:paraId="7918B809" w14:textId="77777777" w:rsidR="00970B4B" w:rsidRPr="00F77584" w:rsidRDefault="00970B4B" w:rsidP="00EA175D">
      <w:pPr>
        <w:spacing w:line="360" w:lineRule="auto"/>
        <w:ind w:left="567"/>
        <w:jc w:val="both"/>
        <w:rPr>
          <w:lang w:val="ru-RU"/>
        </w:rPr>
      </w:pPr>
      <w:r w:rsidRPr="00EA175D">
        <w:t xml:space="preserve">По първия прием в УО на ПРСР 2014 – 2020 г. са подадени за одобрение общо 53 стратегии за ВОМР. Заявените с подадените стратегии за ВОМР средства са в размер на 226 981 664,60 лева (116 053 882,29 евро), което представлява </w:t>
      </w:r>
      <w:r w:rsidR="00E90B47" w:rsidRPr="00F77584">
        <w:rPr>
          <w:lang w:val="ru-RU"/>
        </w:rPr>
        <w:t>58</w:t>
      </w:r>
      <w:r w:rsidR="00861E63" w:rsidRPr="00EA175D">
        <w:t xml:space="preserve">% от разполагаемият бюджет по приема. </w:t>
      </w:r>
    </w:p>
    <w:p w14:paraId="445929E7" w14:textId="77777777" w:rsidR="00E90B47" w:rsidRPr="00EA175D" w:rsidRDefault="00E90B47" w:rsidP="00EA175D">
      <w:pPr>
        <w:spacing w:line="360" w:lineRule="auto"/>
        <w:ind w:firstLine="567"/>
        <w:jc w:val="both"/>
      </w:pPr>
      <w:r w:rsidRPr="00EA175D">
        <w:t>Разпределението на заявените средства по приема по програми е представено в следващата таблица:</w:t>
      </w:r>
    </w:p>
    <w:tbl>
      <w:tblPr>
        <w:tblStyle w:val="aa"/>
        <w:tblW w:w="0" w:type="auto"/>
        <w:tblInd w:w="392" w:type="dxa"/>
        <w:tblLook w:val="04A0" w:firstRow="1" w:lastRow="0" w:firstColumn="1" w:lastColumn="0" w:noHBand="0" w:noVBand="1"/>
      </w:tblPr>
      <w:tblGrid>
        <w:gridCol w:w="2410"/>
        <w:gridCol w:w="2409"/>
        <w:gridCol w:w="2127"/>
        <w:gridCol w:w="2091"/>
      </w:tblGrid>
      <w:tr w:rsidR="00E90B47" w:rsidRPr="00EA175D" w14:paraId="7A6AE735" w14:textId="77777777" w:rsidTr="00EA175D">
        <w:tc>
          <w:tcPr>
            <w:tcW w:w="2410" w:type="dxa"/>
          </w:tcPr>
          <w:p w14:paraId="2BA96DD8" w14:textId="77777777" w:rsidR="00E90B47" w:rsidRPr="00EA175D" w:rsidRDefault="00E90B47" w:rsidP="00EA175D">
            <w:pPr>
              <w:spacing w:line="360" w:lineRule="auto"/>
              <w:jc w:val="both"/>
            </w:pPr>
            <w:r w:rsidRPr="00EA175D">
              <w:t>Финансираща програма</w:t>
            </w:r>
          </w:p>
        </w:tc>
        <w:tc>
          <w:tcPr>
            <w:tcW w:w="2409" w:type="dxa"/>
          </w:tcPr>
          <w:p w14:paraId="1DE7B2AA" w14:textId="77777777" w:rsidR="00E90B47" w:rsidRPr="00EA175D" w:rsidRDefault="00E90B47" w:rsidP="00EA175D">
            <w:pPr>
              <w:spacing w:line="360" w:lineRule="auto"/>
              <w:jc w:val="both"/>
            </w:pPr>
            <w:r w:rsidRPr="00EA175D">
              <w:t>Разполагаем бюджет</w:t>
            </w:r>
            <w:r w:rsidR="0089382D" w:rsidRPr="00EA175D">
              <w:t>, евро</w:t>
            </w:r>
          </w:p>
        </w:tc>
        <w:tc>
          <w:tcPr>
            <w:tcW w:w="2127" w:type="dxa"/>
          </w:tcPr>
          <w:p w14:paraId="5CBDEA44" w14:textId="77777777" w:rsidR="00E90B47" w:rsidRPr="00EA175D" w:rsidRDefault="00E90B47" w:rsidP="00EA175D">
            <w:pPr>
              <w:spacing w:line="360" w:lineRule="auto"/>
              <w:jc w:val="both"/>
            </w:pPr>
            <w:r w:rsidRPr="00EA175D">
              <w:t>Заявен бюджет</w:t>
            </w:r>
            <w:r w:rsidR="0089382D" w:rsidRPr="00EA175D">
              <w:t>, евро</w:t>
            </w:r>
          </w:p>
        </w:tc>
        <w:tc>
          <w:tcPr>
            <w:tcW w:w="2091" w:type="dxa"/>
          </w:tcPr>
          <w:p w14:paraId="7CD1099E" w14:textId="77777777" w:rsidR="00E90B47" w:rsidRPr="00EA175D" w:rsidRDefault="00E90B47" w:rsidP="00EA175D">
            <w:pPr>
              <w:spacing w:line="360" w:lineRule="auto"/>
              <w:jc w:val="both"/>
            </w:pPr>
            <w:r w:rsidRPr="00EA175D">
              <w:t xml:space="preserve">Съотношение </w:t>
            </w:r>
          </w:p>
        </w:tc>
      </w:tr>
      <w:tr w:rsidR="00E90B47" w:rsidRPr="00EA175D" w14:paraId="36B25D34" w14:textId="77777777" w:rsidTr="00EA175D">
        <w:trPr>
          <w:trHeight w:val="94"/>
        </w:trPr>
        <w:tc>
          <w:tcPr>
            <w:tcW w:w="2410" w:type="dxa"/>
          </w:tcPr>
          <w:p w14:paraId="7234E359" w14:textId="77777777" w:rsidR="00E90B47" w:rsidRPr="00EA175D" w:rsidRDefault="00E90B47" w:rsidP="00EA175D">
            <w:pPr>
              <w:spacing w:line="360" w:lineRule="auto"/>
              <w:jc w:val="both"/>
              <w:rPr>
                <w:lang w:val="en-GB"/>
              </w:rPr>
            </w:pPr>
            <w:r w:rsidRPr="00EA175D">
              <w:t>ПРСР 2014 – 2020 г.</w:t>
            </w:r>
            <w:r w:rsidR="003F2EB4" w:rsidRPr="00EA175D">
              <w:rPr>
                <w:lang w:val="en-GB"/>
              </w:rPr>
              <w:t>*</w:t>
            </w:r>
          </w:p>
        </w:tc>
        <w:tc>
          <w:tcPr>
            <w:tcW w:w="2409" w:type="dxa"/>
          </w:tcPr>
          <w:p w14:paraId="7202BA5A" w14:textId="77777777" w:rsidR="00E90B47" w:rsidRPr="00EA175D" w:rsidRDefault="0089382D" w:rsidP="00EA175D">
            <w:pPr>
              <w:spacing w:line="360" w:lineRule="auto"/>
              <w:jc w:val="both"/>
            </w:pPr>
            <w:r w:rsidRPr="00EA175D">
              <w:t>76 708 917</w:t>
            </w:r>
          </w:p>
        </w:tc>
        <w:tc>
          <w:tcPr>
            <w:tcW w:w="2127" w:type="dxa"/>
          </w:tcPr>
          <w:p w14:paraId="6DB3F39F" w14:textId="77777777" w:rsidR="00E90B47" w:rsidRPr="00EA175D" w:rsidRDefault="00B0694A" w:rsidP="00EA175D">
            <w:pPr>
              <w:spacing w:line="360" w:lineRule="auto"/>
              <w:jc w:val="both"/>
            </w:pPr>
            <w:r w:rsidRPr="00EA175D">
              <w:t>74 592 626</w:t>
            </w:r>
          </w:p>
        </w:tc>
        <w:tc>
          <w:tcPr>
            <w:tcW w:w="2091" w:type="dxa"/>
          </w:tcPr>
          <w:p w14:paraId="2B960E61" w14:textId="77777777" w:rsidR="00E90B47" w:rsidRPr="00EA175D" w:rsidRDefault="0089382D" w:rsidP="00EA175D">
            <w:pPr>
              <w:spacing w:line="360" w:lineRule="auto"/>
              <w:jc w:val="both"/>
            </w:pPr>
            <w:r w:rsidRPr="00EA175D">
              <w:rPr>
                <w:lang w:val="en-GB"/>
              </w:rPr>
              <w:t>96</w:t>
            </w:r>
            <w:r w:rsidRPr="00EA175D">
              <w:t>,84%</w:t>
            </w:r>
          </w:p>
        </w:tc>
      </w:tr>
      <w:tr w:rsidR="00E90B47" w:rsidRPr="00EA175D" w14:paraId="2AC5ED37" w14:textId="77777777" w:rsidTr="00EA175D">
        <w:tc>
          <w:tcPr>
            <w:tcW w:w="2410" w:type="dxa"/>
          </w:tcPr>
          <w:p w14:paraId="73AE760B" w14:textId="77777777" w:rsidR="00E90B47" w:rsidRPr="00EA175D" w:rsidRDefault="00E90B47" w:rsidP="00EA175D">
            <w:pPr>
              <w:spacing w:line="360" w:lineRule="auto"/>
              <w:jc w:val="both"/>
            </w:pPr>
            <w:r w:rsidRPr="00EA175D">
              <w:t>ОПИК 2014 – 2020 г.</w:t>
            </w:r>
          </w:p>
        </w:tc>
        <w:tc>
          <w:tcPr>
            <w:tcW w:w="2409" w:type="dxa"/>
          </w:tcPr>
          <w:p w14:paraId="06F38241" w14:textId="77777777" w:rsidR="00E90B47" w:rsidRPr="00EA175D" w:rsidRDefault="0089382D" w:rsidP="00EA175D">
            <w:pPr>
              <w:spacing w:line="360" w:lineRule="auto"/>
              <w:jc w:val="both"/>
            </w:pPr>
            <w:r w:rsidRPr="00EA175D">
              <w:t>53 980 776</w:t>
            </w:r>
          </w:p>
        </w:tc>
        <w:tc>
          <w:tcPr>
            <w:tcW w:w="2127" w:type="dxa"/>
          </w:tcPr>
          <w:p w14:paraId="46D8ADA3" w14:textId="77777777" w:rsidR="00E90B47" w:rsidRPr="00EA175D" w:rsidRDefault="0089382D" w:rsidP="00EA175D">
            <w:pPr>
              <w:spacing w:line="360" w:lineRule="auto"/>
              <w:jc w:val="both"/>
            </w:pPr>
            <w:r w:rsidRPr="00EA175D">
              <w:t>21 876 193</w:t>
            </w:r>
          </w:p>
        </w:tc>
        <w:tc>
          <w:tcPr>
            <w:tcW w:w="2091" w:type="dxa"/>
          </w:tcPr>
          <w:p w14:paraId="018A1EA2" w14:textId="77777777" w:rsidR="00E90B47" w:rsidRPr="00EA175D" w:rsidRDefault="0089382D" w:rsidP="00EA175D">
            <w:pPr>
              <w:spacing w:line="360" w:lineRule="auto"/>
              <w:jc w:val="both"/>
            </w:pPr>
            <w:r w:rsidRPr="00EA175D">
              <w:t>40,53%</w:t>
            </w:r>
          </w:p>
        </w:tc>
      </w:tr>
      <w:tr w:rsidR="00E90B47" w:rsidRPr="00EA175D" w14:paraId="73595DD6" w14:textId="77777777" w:rsidTr="00EA175D">
        <w:tc>
          <w:tcPr>
            <w:tcW w:w="2410" w:type="dxa"/>
          </w:tcPr>
          <w:p w14:paraId="062A31F3" w14:textId="77777777" w:rsidR="00E90B47" w:rsidRPr="00EA175D" w:rsidRDefault="00E90B47" w:rsidP="00EA175D">
            <w:pPr>
              <w:spacing w:line="360" w:lineRule="auto"/>
              <w:jc w:val="both"/>
            </w:pPr>
            <w:r w:rsidRPr="00EA175D">
              <w:t>ОПРЧР 2014 – 2020 г.</w:t>
            </w:r>
          </w:p>
        </w:tc>
        <w:tc>
          <w:tcPr>
            <w:tcW w:w="2409" w:type="dxa"/>
          </w:tcPr>
          <w:p w14:paraId="1BCAE386" w14:textId="77777777" w:rsidR="00E90B47" w:rsidRPr="00EA175D" w:rsidRDefault="0089382D" w:rsidP="00EA175D">
            <w:pPr>
              <w:spacing w:line="360" w:lineRule="auto"/>
              <w:jc w:val="both"/>
            </w:pPr>
            <w:r w:rsidRPr="00EA175D">
              <w:rPr>
                <w:bCs/>
                <w:color w:val="000000"/>
              </w:rPr>
              <w:t>49 749 189</w:t>
            </w:r>
          </w:p>
        </w:tc>
        <w:tc>
          <w:tcPr>
            <w:tcW w:w="2127" w:type="dxa"/>
          </w:tcPr>
          <w:p w14:paraId="51875C44" w14:textId="77777777" w:rsidR="00E90B47" w:rsidRPr="00EA175D" w:rsidRDefault="0089382D" w:rsidP="00EA175D">
            <w:pPr>
              <w:spacing w:line="360" w:lineRule="auto"/>
              <w:jc w:val="both"/>
            </w:pPr>
            <w:r w:rsidRPr="00EA175D">
              <w:t>18 191 196</w:t>
            </w:r>
          </w:p>
        </w:tc>
        <w:tc>
          <w:tcPr>
            <w:tcW w:w="2091" w:type="dxa"/>
          </w:tcPr>
          <w:p w14:paraId="50EB70F6" w14:textId="77777777" w:rsidR="00E90B47" w:rsidRPr="00EA175D" w:rsidRDefault="0089382D" w:rsidP="00EA175D">
            <w:pPr>
              <w:spacing w:line="360" w:lineRule="auto"/>
              <w:jc w:val="both"/>
            </w:pPr>
            <w:r w:rsidRPr="00EA175D">
              <w:t>36,57%</w:t>
            </w:r>
          </w:p>
        </w:tc>
      </w:tr>
      <w:tr w:rsidR="00E90B47" w:rsidRPr="00EA175D" w14:paraId="134F11F9" w14:textId="77777777" w:rsidTr="00EA175D">
        <w:tc>
          <w:tcPr>
            <w:tcW w:w="2410" w:type="dxa"/>
          </w:tcPr>
          <w:p w14:paraId="4671DE17" w14:textId="77777777" w:rsidR="00E90B47" w:rsidRPr="00EA175D" w:rsidRDefault="00E90B47" w:rsidP="00EA175D">
            <w:pPr>
              <w:spacing w:line="360" w:lineRule="auto"/>
              <w:jc w:val="both"/>
            </w:pPr>
            <w:r w:rsidRPr="00EA175D">
              <w:t>ОПОС 2014 – 2020 г.</w:t>
            </w:r>
          </w:p>
        </w:tc>
        <w:tc>
          <w:tcPr>
            <w:tcW w:w="2409" w:type="dxa"/>
          </w:tcPr>
          <w:p w14:paraId="1962023B" w14:textId="77777777" w:rsidR="00E90B47" w:rsidRPr="00EA175D" w:rsidRDefault="0089382D" w:rsidP="00EA175D">
            <w:pPr>
              <w:spacing w:line="360" w:lineRule="auto"/>
              <w:jc w:val="both"/>
            </w:pPr>
            <w:r w:rsidRPr="00EA175D">
              <w:rPr>
                <w:bCs/>
                <w:color w:val="000000"/>
              </w:rPr>
              <w:t>19 458 660</w:t>
            </w:r>
          </w:p>
        </w:tc>
        <w:tc>
          <w:tcPr>
            <w:tcW w:w="2127" w:type="dxa"/>
          </w:tcPr>
          <w:p w14:paraId="5FFC5E29" w14:textId="77777777" w:rsidR="00E90B47" w:rsidRPr="00EA175D" w:rsidRDefault="0089382D" w:rsidP="00EA175D">
            <w:pPr>
              <w:spacing w:line="360" w:lineRule="auto"/>
              <w:jc w:val="both"/>
            </w:pPr>
            <w:r w:rsidRPr="00EA175D">
              <w:t>1 702 841</w:t>
            </w:r>
          </w:p>
        </w:tc>
        <w:tc>
          <w:tcPr>
            <w:tcW w:w="2091" w:type="dxa"/>
          </w:tcPr>
          <w:p w14:paraId="6FB524BB" w14:textId="77777777" w:rsidR="00E90B47" w:rsidRPr="00EA175D" w:rsidRDefault="0089382D" w:rsidP="00EA175D">
            <w:pPr>
              <w:spacing w:line="360" w:lineRule="auto"/>
              <w:jc w:val="both"/>
            </w:pPr>
            <w:r w:rsidRPr="00EA175D">
              <w:t>8,75%</w:t>
            </w:r>
          </w:p>
        </w:tc>
      </w:tr>
      <w:tr w:rsidR="00A23AB3" w:rsidRPr="00EA175D" w14:paraId="354A0D58" w14:textId="77777777" w:rsidTr="00EA175D">
        <w:tc>
          <w:tcPr>
            <w:tcW w:w="2410" w:type="dxa"/>
          </w:tcPr>
          <w:p w14:paraId="5B7130A2" w14:textId="77777777" w:rsidR="00A23AB3" w:rsidRPr="00EA175D" w:rsidRDefault="002C7D65" w:rsidP="00EA175D">
            <w:pPr>
              <w:spacing w:line="360" w:lineRule="auto"/>
              <w:jc w:val="both"/>
              <w:rPr>
                <w:lang w:val="en-GB"/>
              </w:rPr>
            </w:pPr>
            <w:r w:rsidRPr="00EA175D">
              <w:t>Общо</w:t>
            </w:r>
            <w:r w:rsidRPr="00EA175D">
              <w:rPr>
                <w:lang w:val="en-GB"/>
              </w:rPr>
              <w:t>**</w:t>
            </w:r>
          </w:p>
        </w:tc>
        <w:tc>
          <w:tcPr>
            <w:tcW w:w="2409" w:type="dxa"/>
          </w:tcPr>
          <w:p w14:paraId="20639304" w14:textId="77777777" w:rsidR="00A23AB3" w:rsidRPr="00EA175D" w:rsidRDefault="00A23AB3" w:rsidP="00EA175D">
            <w:pPr>
              <w:spacing w:line="360" w:lineRule="auto"/>
              <w:jc w:val="both"/>
              <w:rPr>
                <w:bCs/>
                <w:color w:val="000000"/>
              </w:rPr>
            </w:pPr>
            <w:r w:rsidRPr="00EA175D">
              <w:rPr>
                <w:bCs/>
                <w:color w:val="000000"/>
              </w:rPr>
              <w:t>199 897 542</w:t>
            </w:r>
          </w:p>
        </w:tc>
        <w:tc>
          <w:tcPr>
            <w:tcW w:w="2127" w:type="dxa"/>
          </w:tcPr>
          <w:p w14:paraId="270BC3F7" w14:textId="77777777" w:rsidR="00A23AB3" w:rsidRPr="00EA175D" w:rsidRDefault="00A23AB3" w:rsidP="00EA175D">
            <w:pPr>
              <w:spacing w:line="360" w:lineRule="auto"/>
              <w:jc w:val="both"/>
            </w:pPr>
            <w:r w:rsidRPr="00EA175D">
              <w:t xml:space="preserve">116 </w:t>
            </w:r>
            <w:r w:rsidR="00B0694A" w:rsidRPr="00EA175D">
              <w:t>362</w:t>
            </w:r>
            <w:r w:rsidRPr="00EA175D">
              <w:t xml:space="preserve"> </w:t>
            </w:r>
            <w:r w:rsidR="00B0694A" w:rsidRPr="00EA175D">
              <w:t>856</w:t>
            </w:r>
          </w:p>
        </w:tc>
        <w:tc>
          <w:tcPr>
            <w:tcW w:w="2091" w:type="dxa"/>
          </w:tcPr>
          <w:p w14:paraId="0969A776" w14:textId="77777777" w:rsidR="00A23AB3" w:rsidRPr="00EA175D" w:rsidRDefault="00A23AB3" w:rsidP="00EA175D">
            <w:pPr>
              <w:spacing w:line="360" w:lineRule="auto"/>
              <w:jc w:val="both"/>
            </w:pPr>
            <w:r w:rsidRPr="00EA175D">
              <w:t>58,</w:t>
            </w:r>
            <w:r w:rsidR="00B0694A" w:rsidRPr="00EA175D">
              <w:t>21</w:t>
            </w:r>
            <w:r w:rsidRPr="00EA175D">
              <w:t>%</w:t>
            </w:r>
          </w:p>
        </w:tc>
      </w:tr>
    </w:tbl>
    <w:p w14:paraId="74EEBAA3" w14:textId="77777777" w:rsidR="00E90B47" w:rsidRPr="00EA175D" w:rsidRDefault="00B84B39" w:rsidP="00EA175D">
      <w:pPr>
        <w:tabs>
          <w:tab w:val="left" w:pos="426"/>
        </w:tabs>
        <w:spacing w:line="360" w:lineRule="auto"/>
        <w:ind w:left="426" w:firstLine="283"/>
        <w:jc w:val="both"/>
        <w:rPr>
          <w:u w:val="single"/>
        </w:rPr>
      </w:pPr>
      <w:r w:rsidRPr="00F77584">
        <w:rPr>
          <w:u w:val="single"/>
          <w:lang w:val="ru-RU"/>
        </w:rPr>
        <w:t>*</w:t>
      </w:r>
      <w:r w:rsidRPr="00EA175D">
        <w:rPr>
          <w:u w:val="single"/>
        </w:rPr>
        <w:t>Забележка: следва да се има предвид, че бюджетът по ПРСР 2014 – 2020 г. е напълно договорен, но по-късно споразумението на МИГ „Тетевен“ е прекратено от УО на ПРСР 2014 – 2020 г. Информацията е подробно представена по-нататък в текста.</w:t>
      </w:r>
    </w:p>
    <w:p w14:paraId="057AFEF9" w14:textId="77777777" w:rsidR="00E90B47" w:rsidRPr="00EA175D" w:rsidRDefault="002C7D65" w:rsidP="00EA175D">
      <w:pPr>
        <w:tabs>
          <w:tab w:val="left" w:pos="426"/>
        </w:tabs>
        <w:spacing w:line="360" w:lineRule="auto"/>
        <w:ind w:left="426" w:firstLine="283"/>
        <w:jc w:val="both"/>
        <w:rPr>
          <w:u w:val="single"/>
        </w:rPr>
      </w:pPr>
      <w:r w:rsidRPr="00F77584">
        <w:rPr>
          <w:u w:val="single"/>
          <w:lang w:val="ru-RU"/>
        </w:rPr>
        <w:t>**</w:t>
      </w:r>
      <w:r w:rsidRPr="00EA175D">
        <w:rPr>
          <w:u w:val="single"/>
        </w:rPr>
        <w:t>Забележка – общата стойност е взета като абсолютна стойност, без да отчита отделните фондове.</w:t>
      </w:r>
    </w:p>
    <w:p w14:paraId="5A943E64" w14:textId="77777777" w:rsidR="00C9412E" w:rsidRPr="00EA175D" w:rsidRDefault="00C9412E" w:rsidP="00EA175D">
      <w:pPr>
        <w:tabs>
          <w:tab w:val="left" w:pos="426"/>
        </w:tabs>
        <w:spacing w:line="360" w:lineRule="auto"/>
        <w:ind w:left="426" w:firstLine="283"/>
        <w:jc w:val="both"/>
      </w:pPr>
      <w:r w:rsidRPr="00EA175D">
        <w:t>Графика. МИГ, подали заявления по първи прием по подмярка 19.2.</w:t>
      </w:r>
    </w:p>
    <w:p w14:paraId="042A7B6B" w14:textId="77777777" w:rsidR="00C9412E" w:rsidRPr="00EA175D" w:rsidRDefault="00C9412E" w:rsidP="00EA175D">
      <w:pPr>
        <w:spacing w:line="360" w:lineRule="auto"/>
        <w:ind w:firstLine="567"/>
        <w:jc w:val="both"/>
      </w:pPr>
      <w:r w:rsidRPr="00EA175D">
        <w:rPr>
          <w:lang w:val="it-IT" w:eastAsia="it-IT"/>
        </w:rPr>
        <w:lastRenderedPageBreak/>
        <w:drawing>
          <wp:inline distT="0" distB="0" distL="0" distR="0" wp14:anchorId="28466E90" wp14:editId="5A512D8C">
            <wp:extent cx="4905430" cy="3472815"/>
            <wp:effectExtent l="0" t="0" r="9525" b="0"/>
            <wp:docPr id="20" name="Picture 20" descr="D:\LEADER\2014-2020\Implementation CLLD\Приеми\19.2 map submitted LDS 1c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LEADER\2014-2020\Implementation CLLD\Приеми\19.2 map submitted LDS 1call.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r="1567"/>
                    <a:stretch/>
                  </pic:blipFill>
                  <pic:spPr bwMode="auto">
                    <a:xfrm>
                      <a:off x="0" y="0"/>
                      <a:ext cx="4936040" cy="3494486"/>
                    </a:xfrm>
                    <a:prstGeom prst="rect">
                      <a:avLst/>
                    </a:prstGeom>
                    <a:noFill/>
                    <a:ln>
                      <a:noFill/>
                    </a:ln>
                  </pic:spPr>
                </pic:pic>
              </a:graphicData>
            </a:graphic>
          </wp:inline>
        </w:drawing>
      </w:r>
    </w:p>
    <w:p w14:paraId="6CCD595D" w14:textId="77777777" w:rsidR="00C9412E" w:rsidRPr="00EA175D" w:rsidRDefault="00C9412E" w:rsidP="00EA175D">
      <w:pPr>
        <w:spacing w:line="360" w:lineRule="auto"/>
        <w:ind w:firstLine="567"/>
        <w:jc w:val="both"/>
        <w:rPr>
          <w:lang w:val="en-GB"/>
        </w:rPr>
      </w:pPr>
    </w:p>
    <w:p w14:paraId="1CEA260B" w14:textId="77777777" w:rsidR="00177731" w:rsidRPr="00F77584" w:rsidRDefault="00177731" w:rsidP="00EA175D">
      <w:pPr>
        <w:spacing w:line="360" w:lineRule="auto"/>
        <w:ind w:firstLine="567"/>
        <w:jc w:val="both"/>
        <w:rPr>
          <w:lang w:val="ru-RU"/>
        </w:rPr>
      </w:pPr>
      <w:r w:rsidRPr="00EA175D">
        <w:t>Разпределението на фондовете в различните стратегии е представено на следващите графики</w:t>
      </w:r>
      <w:r w:rsidR="00402CE1" w:rsidRPr="00EA175D">
        <w:t>, които показват включването на различните фондове и програми</w:t>
      </w:r>
      <w:r w:rsidRPr="00EA175D">
        <w:t>.</w:t>
      </w:r>
    </w:p>
    <w:p w14:paraId="5DC24524" w14:textId="77777777" w:rsidR="00F16491" w:rsidRPr="00EA175D" w:rsidRDefault="00F16491" w:rsidP="00EA175D">
      <w:pPr>
        <w:spacing w:line="360" w:lineRule="auto"/>
        <w:ind w:firstLine="567"/>
        <w:jc w:val="both"/>
      </w:pPr>
      <w:r w:rsidRPr="00EA175D">
        <w:t>Графика. Разпределение на фондовете в заявленията, подадени по първи прием на стратегии по подмярка 19.2.</w:t>
      </w:r>
    </w:p>
    <w:p w14:paraId="00E36B6C" w14:textId="77777777" w:rsidR="00177731" w:rsidRPr="00EA175D" w:rsidRDefault="00177731" w:rsidP="00EA175D">
      <w:pPr>
        <w:spacing w:line="360" w:lineRule="auto"/>
        <w:ind w:firstLine="567"/>
        <w:jc w:val="both"/>
      </w:pPr>
      <w:r w:rsidRPr="00EA175D">
        <w:rPr>
          <w:lang w:val="it-IT" w:eastAsia="it-IT"/>
        </w:rPr>
        <w:drawing>
          <wp:inline distT="0" distB="0" distL="0" distR="0" wp14:anchorId="4214ED3B" wp14:editId="37DDC182">
            <wp:extent cx="4058603" cy="2664296"/>
            <wp:effectExtent l="0" t="0" r="18415" b="22225"/>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2F9CAC95" w14:textId="77777777" w:rsidR="00F16491" w:rsidRPr="00EA175D" w:rsidRDefault="00F16491" w:rsidP="00EA175D">
      <w:pPr>
        <w:spacing w:line="360" w:lineRule="auto"/>
        <w:ind w:firstLine="567"/>
        <w:jc w:val="both"/>
      </w:pPr>
    </w:p>
    <w:p w14:paraId="28959943" w14:textId="77777777" w:rsidR="00177731" w:rsidRPr="00EA175D" w:rsidRDefault="00F16491" w:rsidP="00EA175D">
      <w:pPr>
        <w:spacing w:line="360" w:lineRule="auto"/>
        <w:ind w:firstLine="567"/>
        <w:jc w:val="both"/>
      </w:pPr>
      <w:r w:rsidRPr="00EA175D">
        <w:t>Графика. Разпределение на финансиращите програми в заянленията, получени по първи прием по подмярка 19.2, по брой стратегии, в които са включени.</w:t>
      </w:r>
    </w:p>
    <w:p w14:paraId="0E25691C" w14:textId="77777777" w:rsidR="00177731" w:rsidRPr="00EA175D" w:rsidRDefault="00177731" w:rsidP="00EA175D">
      <w:pPr>
        <w:spacing w:line="360" w:lineRule="auto"/>
        <w:ind w:firstLine="567"/>
        <w:jc w:val="both"/>
      </w:pPr>
      <w:r w:rsidRPr="00EA175D">
        <w:rPr>
          <w:lang w:val="it-IT" w:eastAsia="it-IT"/>
        </w:rPr>
        <w:drawing>
          <wp:inline distT="0" distB="0" distL="0" distR="0" wp14:anchorId="5155603B" wp14:editId="5359A6A0">
            <wp:extent cx="4056993" cy="2301765"/>
            <wp:effectExtent l="0" t="0" r="20320" b="2286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C3E171F" w14:textId="77777777" w:rsidR="00177731" w:rsidRPr="00EA175D" w:rsidRDefault="00177731" w:rsidP="00EA175D">
      <w:pPr>
        <w:spacing w:line="360" w:lineRule="auto"/>
        <w:ind w:firstLine="567"/>
        <w:jc w:val="both"/>
      </w:pPr>
    </w:p>
    <w:p w14:paraId="0509EE73" w14:textId="77777777" w:rsidR="00F16491" w:rsidRPr="00EA175D" w:rsidRDefault="00F16491" w:rsidP="00EA175D">
      <w:pPr>
        <w:spacing w:line="360" w:lineRule="auto"/>
        <w:ind w:firstLine="567"/>
        <w:jc w:val="both"/>
      </w:pPr>
      <w:r w:rsidRPr="00EA175D">
        <w:t>Графика. Комбинации от финансиращи програми, включени в заявленията, подадени по първи прием на стратегии по подмярка 19.2.</w:t>
      </w:r>
    </w:p>
    <w:p w14:paraId="690D560A" w14:textId="77777777" w:rsidR="00177731" w:rsidRPr="00EA175D" w:rsidRDefault="00177731" w:rsidP="00EA175D">
      <w:pPr>
        <w:spacing w:line="360" w:lineRule="auto"/>
        <w:ind w:firstLine="567"/>
        <w:jc w:val="both"/>
        <w:rPr>
          <w:lang w:val="en-GB"/>
        </w:rPr>
      </w:pPr>
      <w:r w:rsidRPr="00EA175D">
        <w:rPr>
          <w:lang w:val="it-IT" w:eastAsia="it-IT"/>
        </w:rPr>
        <w:drawing>
          <wp:inline distT="0" distB="0" distL="0" distR="0" wp14:anchorId="315A373F" wp14:editId="6D062DAC">
            <wp:extent cx="4464496" cy="2132856"/>
            <wp:effectExtent l="0" t="0" r="12700" b="2032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FAABA8A" w14:textId="77777777" w:rsidR="00970B4B" w:rsidRPr="00EA175D" w:rsidRDefault="00970B4B" w:rsidP="00EA175D">
      <w:pPr>
        <w:spacing w:line="360" w:lineRule="auto"/>
        <w:ind w:firstLine="567"/>
        <w:jc w:val="both"/>
      </w:pPr>
    </w:p>
    <w:p w14:paraId="13C3121B" w14:textId="0405225A" w:rsidR="00970B4B" w:rsidRPr="00F77584" w:rsidRDefault="00F16491" w:rsidP="00EA175D">
      <w:pPr>
        <w:spacing w:line="360" w:lineRule="auto"/>
        <w:ind w:firstLine="567"/>
        <w:jc w:val="both"/>
        <w:rPr>
          <w:i/>
          <w:lang w:val="ru-RU"/>
        </w:rPr>
      </w:pPr>
      <w:r w:rsidRPr="00EA175D">
        <w:rPr>
          <w:i/>
        </w:rPr>
        <w:t>От представената на горните три графики информация се открояват следните основни извода: броят на еднофондовите стратегии е 23, което предствавлява 43% от всички заявления. Броят на стратегиите с включена само 1 оперативна програма е общо 7, което представлява 1</w:t>
      </w:r>
      <w:r w:rsidR="005A2C19" w:rsidRPr="00EA175D">
        <w:rPr>
          <w:i/>
        </w:rPr>
        <w:t>4</w:t>
      </w:r>
      <w:r w:rsidRPr="00EA175D">
        <w:rPr>
          <w:i/>
        </w:rPr>
        <w:t xml:space="preserve">% от всички заявления. Броят на стратегиите, които са </w:t>
      </w:r>
      <w:r w:rsidRPr="00EA175D">
        <w:rPr>
          <w:i/>
        </w:rPr>
        <w:lastRenderedPageBreak/>
        <w:t xml:space="preserve">включили повече от 1 програма за финансиране е </w:t>
      </w:r>
      <w:r w:rsidR="005A2C19" w:rsidRPr="00EA175D">
        <w:rPr>
          <w:i/>
        </w:rPr>
        <w:t>23, което представлява 43% от всички заявления. Прави впечатление, че само 2 от кандидатите, или 3,7% са включили всичк</w:t>
      </w:r>
      <w:r w:rsidR="00493AE7">
        <w:rPr>
          <w:i/>
        </w:rPr>
        <w:t>и</w:t>
      </w:r>
      <w:r w:rsidR="005A2C19" w:rsidRPr="00EA175D">
        <w:rPr>
          <w:i/>
        </w:rPr>
        <w:t xml:space="preserve"> възможни източници на финансиране в своите стратегии. Може да се заключи, че кандидатите са подходили предпа</w:t>
      </w:r>
      <w:r w:rsidR="00BB7C3C" w:rsidRPr="00EA175D">
        <w:rPr>
          <w:i/>
        </w:rPr>
        <w:t>з</w:t>
      </w:r>
      <w:r w:rsidR="005A2C19" w:rsidRPr="00EA175D">
        <w:rPr>
          <w:i/>
        </w:rPr>
        <w:t>ливо към включването на различни от ЕЗФРСР източници на финансиране, като по този начин част от предназначения за този прием ресурс по съответните програми е останал свободен.</w:t>
      </w:r>
    </w:p>
    <w:p w14:paraId="3D9A64B5" w14:textId="77777777" w:rsidR="00257F5F" w:rsidRPr="00EA175D" w:rsidRDefault="00257F5F" w:rsidP="00EA175D">
      <w:pPr>
        <w:spacing w:line="360" w:lineRule="auto"/>
        <w:ind w:firstLine="567"/>
        <w:jc w:val="both"/>
      </w:pPr>
      <w:r w:rsidRPr="00EA175D">
        <w:t>По първия прием на заявления по подмярка 19.2 са подадени 53 стратегии за ВОМР на МИГ, обхващащи 99 общини с територия 43 497 кв. км. и население 1 325 541 жители. Нивата на одобрение по първия прием са показани на следващата графика.</w:t>
      </w:r>
    </w:p>
    <w:p w14:paraId="671657DB" w14:textId="77777777" w:rsidR="00257F5F" w:rsidRPr="00F77584" w:rsidRDefault="00257F5F" w:rsidP="00EA175D">
      <w:pPr>
        <w:spacing w:line="360" w:lineRule="auto"/>
        <w:ind w:firstLine="567"/>
        <w:jc w:val="both"/>
        <w:rPr>
          <w:lang w:val="ru-RU"/>
        </w:rPr>
      </w:pPr>
      <w:r w:rsidRPr="00EA175D">
        <w:t>Графика. Дял на одобрените общини, територии и население по първия прием на стратегии за ВОМР по подмярка 19.2.</w:t>
      </w:r>
    </w:p>
    <w:p w14:paraId="5F35602C" w14:textId="77777777" w:rsidR="00FA78D3" w:rsidRPr="00EA175D" w:rsidRDefault="00A30560" w:rsidP="00EA175D">
      <w:pPr>
        <w:spacing w:line="360" w:lineRule="auto"/>
        <w:ind w:firstLine="567"/>
        <w:jc w:val="both"/>
        <w:rPr>
          <w:lang w:val="en-GB"/>
        </w:rPr>
      </w:pPr>
      <w:r w:rsidRPr="00EA175D">
        <w:rPr>
          <w:lang w:val="it-IT" w:eastAsia="it-IT"/>
        </w:rPr>
        <mc:AlternateContent>
          <mc:Choice Requires="wps">
            <w:drawing>
              <wp:anchor distT="0" distB="0" distL="114300" distR="114300" simplePos="0" relativeHeight="251681792" behindDoc="0" locked="0" layoutInCell="1" allowOverlap="1" wp14:anchorId="21130BC2" wp14:editId="72B6D715">
                <wp:simplePos x="0" y="0"/>
                <wp:positionH relativeFrom="column">
                  <wp:posOffset>4112654</wp:posOffset>
                </wp:positionH>
                <wp:positionV relativeFrom="paragraph">
                  <wp:posOffset>147955</wp:posOffset>
                </wp:positionV>
                <wp:extent cx="515007" cy="228600"/>
                <wp:effectExtent l="0" t="0" r="0" b="0"/>
                <wp:wrapNone/>
                <wp:docPr id="39" name="Text Box 1"/>
                <wp:cNvGraphicFramePr/>
                <a:graphic xmlns:a="http://schemas.openxmlformats.org/drawingml/2006/main">
                  <a:graphicData uri="http://schemas.microsoft.com/office/word/2010/wordprocessingShape">
                    <wps:wsp>
                      <wps:cNvSpPr txBox="1"/>
                      <wps:spPr>
                        <a:xfrm>
                          <a:off x="0" y="0"/>
                          <a:ext cx="515007" cy="228600"/>
                        </a:xfrm>
                        <a:prstGeom prst="rect">
                          <a:avLst/>
                        </a:prstGeom>
                      </wps:spPr>
                      <wps:txbx>
                        <w:txbxContent>
                          <w:p w14:paraId="333B53BD" w14:textId="77777777" w:rsidR="006C23D3" w:rsidRPr="00A30560" w:rsidRDefault="006C23D3" w:rsidP="00A30560">
                            <w:pPr>
                              <w:pStyle w:val="ae"/>
                              <w:spacing w:before="0" w:beforeAutospacing="0" w:after="0" w:afterAutospacing="0"/>
                            </w:pPr>
                            <w:r>
                              <w:rPr>
                                <w:rFonts w:ascii="Calibri" w:eastAsia="+mn-ea" w:hAnsi="Calibri" w:cs="+mn-cs"/>
                                <w:b/>
                                <w:bCs/>
                                <w:sz w:val="16"/>
                                <w:szCs w:val="16"/>
                              </w:rPr>
                              <w:t>77,51</w:t>
                            </w:r>
                            <w:r>
                              <w:rPr>
                                <w:rFonts w:ascii="Calibri" w:eastAsia="+mn-ea" w:hAnsi="Calibri" w:cs="+mn-cs"/>
                                <w:b/>
                                <w:bCs/>
                                <w:sz w:val="16"/>
                                <w:szCs w:val="16"/>
                                <w:lang w:val="bg-BG"/>
                              </w:rPr>
                              <w:t>%</w:t>
                            </w:r>
                          </w:p>
                        </w:txbxContent>
                      </wps:txbx>
                      <wps:bodyPr vertOverflow="clip" wrap="square" rtlCol="0"/>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323.85pt;margin-top:11.65pt;width:40.55pt;height:18pt;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" filled="f" stroked="f">
                <v:textbox>
                  <w:txbxContent>
                    <w:p w14:paraId="333B53BD" w14:textId="77777777" w:rsidR="00165A99" w:rsidRPr="00A30560" w:rsidRDefault="00165A99" w:rsidP="00A30560">
                      <w:pPr>
                        <w:pStyle w:val="NormalWeb"/>
                        <w:spacing w:before="0" w:beforeAutospacing="0" w:after="0" w:afterAutospacing="0"/>
                      </w:pPr>
                      <w:r>
                        <w:rPr>
                          <w:rFonts w:ascii="Calibri" w:eastAsia="+mn-ea" w:hAnsi="Calibri" w:cs="+mn-cs"/>
                          <w:b/>
                          <w:bCs/>
                          <w:sz w:val="16"/>
                          <w:szCs w:val="16"/>
                        </w:rPr>
                        <w:t>77,51</w:t>
                      </w:r>
                      <w:r>
                        <w:rPr>
                          <w:rFonts w:ascii="Calibri" w:eastAsia="+mn-ea" w:hAnsi="Calibri" w:cs="+mn-cs"/>
                          <w:b/>
                          <w:bCs/>
                          <w:sz w:val="16"/>
                          <w:szCs w:val="16"/>
                          <w:lang w:val="bg-BG"/>
                        </w:rPr>
                        <w:t>%</w:t>
                      </w:r>
                    </w:p>
                  </w:txbxContent>
                </v:textbox>
              </v:shape>
            </w:pict>
          </mc:Fallback>
        </mc:AlternateContent>
      </w:r>
      <w:r w:rsidRPr="00EA175D">
        <w:rPr>
          <w:lang w:val="it-IT" w:eastAsia="it-IT"/>
        </w:rPr>
        <mc:AlternateContent>
          <mc:Choice Requires="wps">
            <w:drawing>
              <wp:anchor distT="0" distB="0" distL="114300" distR="114300" simplePos="0" relativeHeight="251677696" behindDoc="0" locked="0" layoutInCell="1" allowOverlap="1" wp14:anchorId="6B663703" wp14:editId="4B596DFE">
                <wp:simplePos x="0" y="0"/>
                <wp:positionH relativeFrom="column">
                  <wp:posOffset>2614930</wp:posOffset>
                </wp:positionH>
                <wp:positionV relativeFrom="paragraph">
                  <wp:posOffset>605308</wp:posOffset>
                </wp:positionV>
                <wp:extent cx="515007" cy="228600"/>
                <wp:effectExtent l="0" t="0" r="0" b="0"/>
                <wp:wrapNone/>
                <wp:docPr id="38" name="Text Box 1"/>
                <wp:cNvGraphicFramePr/>
                <a:graphic xmlns:a="http://schemas.openxmlformats.org/drawingml/2006/main">
                  <a:graphicData uri="http://schemas.microsoft.com/office/word/2010/wordprocessingShape">
                    <wps:wsp>
                      <wps:cNvSpPr txBox="1"/>
                      <wps:spPr>
                        <a:xfrm>
                          <a:off x="0" y="0"/>
                          <a:ext cx="515007" cy="228600"/>
                        </a:xfrm>
                        <a:prstGeom prst="rect">
                          <a:avLst/>
                        </a:prstGeom>
                      </wps:spPr>
                      <wps:txbx>
                        <w:txbxContent>
                          <w:p w14:paraId="06AC3BDE" w14:textId="77777777" w:rsidR="006C23D3" w:rsidRPr="00A30560" w:rsidRDefault="006C23D3" w:rsidP="00A30560">
                            <w:pPr>
                              <w:pStyle w:val="ae"/>
                              <w:spacing w:before="0" w:beforeAutospacing="0" w:after="0" w:afterAutospacing="0"/>
                            </w:pPr>
                            <w:r>
                              <w:rPr>
                                <w:rFonts w:ascii="Calibri" w:eastAsia="+mn-ea" w:hAnsi="Calibri" w:cs="+mn-cs"/>
                                <w:b/>
                                <w:bCs/>
                                <w:sz w:val="16"/>
                                <w:szCs w:val="16"/>
                              </w:rPr>
                              <w:t>72,71</w:t>
                            </w:r>
                            <w:r>
                              <w:rPr>
                                <w:rFonts w:ascii="Calibri" w:eastAsia="+mn-ea" w:hAnsi="Calibri" w:cs="+mn-cs"/>
                                <w:b/>
                                <w:bCs/>
                                <w:sz w:val="16"/>
                                <w:szCs w:val="16"/>
                                <w:lang w:val="bg-BG"/>
                              </w:rPr>
                              <w:t>%</w:t>
                            </w:r>
                          </w:p>
                        </w:txbxContent>
                      </wps:txbx>
                      <wps:bodyPr vertOverflow="clip" wrap="square" rtlCol="0"/>
                    </wps:wsp>
                  </a:graphicData>
                </a:graphic>
                <wp14:sizeRelH relativeFrom="margin">
                  <wp14:pctWidth>0</wp14:pctWidth>
                </wp14:sizeRelH>
              </wp:anchor>
            </w:drawing>
          </mc:Choice>
          <mc:Fallback>
            <w:pict>
              <v:shape id="_x0000_s1027" type="#_x0000_t202" style="position:absolute;left:0;text-align:left;margin-left:205.9pt;margin-top:47.65pt;width:40.55pt;height:18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" filled="f" stroked="f">
                <v:textbox>
                  <w:txbxContent>
                    <w:p w14:paraId="06AC3BDE" w14:textId="77777777" w:rsidR="00165A99" w:rsidRPr="00A30560" w:rsidRDefault="00165A99" w:rsidP="00A30560">
                      <w:pPr>
                        <w:pStyle w:val="NormalWeb"/>
                        <w:spacing w:before="0" w:beforeAutospacing="0" w:after="0" w:afterAutospacing="0"/>
                      </w:pPr>
                      <w:r>
                        <w:rPr>
                          <w:rFonts w:ascii="Calibri" w:eastAsia="+mn-ea" w:hAnsi="Calibri" w:cs="+mn-cs"/>
                          <w:b/>
                          <w:bCs/>
                          <w:sz w:val="16"/>
                          <w:szCs w:val="16"/>
                        </w:rPr>
                        <w:t>72,71</w:t>
                      </w:r>
                      <w:r>
                        <w:rPr>
                          <w:rFonts w:ascii="Calibri" w:eastAsia="+mn-ea" w:hAnsi="Calibri" w:cs="+mn-cs"/>
                          <w:b/>
                          <w:bCs/>
                          <w:sz w:val="16"/>
                          <w:szCs w:val="16"/>
                          <w:lang w:val="bg-BG"/>
                        </w:rPr>
                        <w:t>%</w:t>
                      </w:r>
                    </w:p>
                  </w:txbxContent>
                </v:textbox>
              </v:shape>
            </w:pict>
          </mc:Fallback>
        </mc:AlternateContent>
      </w:r>
      <w:r w:rsidRPr="00EA175D">
        <w:rPr>
          <w:lang w:val="it-IT" w:eastAsia="it-IT"/>
        </w:rPr>
        <mc:AlternateContent>
          <mc:Choice Requires="wps">
            <w:drawing>
              <wp:anchor distT="0" distB="0" distL="114300" distR="114300" simplePos="0" relativeHeight="251673600" behindDoc="0" locked="0" layoutInCell="1" allowOverlap="1" wp14:anchorId="40DD8583" wp14:editId="0D57BD12">
                <wp:simplePos x="0" y="0"/>
                <wp:positionH relativeFrom="column">
                  <wp:posOffset>1222463</wp:posOffset>
                </wp:positionH>
                <wp:positionV relativeFrom="paragraph">
                  <wp:posOffset>593703</wp:posOffset>
                </wp:positionV>
                <wp:extent cx="515007" cy="228600"/>
                <wp:effectExtent l="0" t="0" r="0" b="0"/>
                <wp:wrapNone/>
                <wp:docPr id="37" name="Text Box 1"/>
                <wp:cNvGraphicFramePr/>
                <a:graphic xmlns:a="http://schemas.openxmlformats.org/drawingml/2006/main">
                  <a:graphicData uri="http://schemas.microsoft.com/office/word/2010/wordprocessingShape">
                    <wps:wsp>
                      <wps:cNvSpPr txBox="1"/>
                      <wps:spPr>
                        <a:xfrm>
                          <a:off x="0" y="0"/>
                          <a:ext cx="515007" cy="228600"/>
                        </a:xfrm>
                        <a:prstGeom prst="rect">
                          <a:avLst/>
                        </a:prstGeom>
                      </wps:spPr>
                      <wps:txbx>
                        <w:txbxContent>
                          <w:p w14:paraId="3860BCA9" w14:textId="77777777" w:rsidR="006C23D3" w:rsidRPr="00A30560" w:rsidRDefault="006C23D3" w:rsidP="00A30560">
                            <w:pPr>
                              <w:pStyle w:val="ae"/>
                              <w:spacing w:before="0" w:beforeAutospacing="0" w:after="0" w:afterAutospacing="0"/>
                            </w:pPr>
                            <w:r>
                              <w:rPr>
                                <w:rFonts w:ascii="Calibri" w:eastAsia="+mn-ea" w:hAnsi="Calibri" w:cs="+mn-cs"/>
                                <w:b/>
                                <w:bCs/>
                                <w:sz w:val="16"/>
                                <w:szCs w:val="16"/>
                              </w:rPr>
                              <w:t>73,74</w:t>
                            </w:r>
                            <w:r>
                              <w:rPr>
                                <w:rFonts w:ascii="Calibri" w:eastAsia="+mn-ea" w:hAnsi="Calibri" w:cs="+mn-cs"/>
                                <w:b/>
                                <w:bCs/>
                                <w:sz w:val="16"/>
                                <w:szCs w:val="16"/>
                                <w:lang w:val="bg-BG"/>
                              </w:rPr>
                              <w:t>%</w:t>
                            </w:r>
                          </w:p>
                        </w:txbxContent>
                      </wps:txbx>
                      <wps:bodyPr vertOverflow="clip" wrap="square" rtlCol="0"/>
                    </wps:wsp>
                  </a:graphicData>
                </a:graphic>
                <wp14:sizeRelH relativeFrom="margin">
                  <wp14:pctWidth>0</wp14:pctWidth>
                </wp14:sizeRelH>
              </wp:anchor>
            </w:drawing>
          </mc:Choice>
          <mc:Fallback>
            <w:pict>
              <v:shape id="_x0000_s1028" type="#_x0000_t202" style="position:absolute;left:0;text-align:left;margin-left:96.25pt;margin-top:46.75pt;width:40.55pt;height:18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" filled="f" stroked="f">
                <v:textbox>
                  <w:txbxContent>
                    <w:p w14:paraId="3860BCA9" w14:textId="77777777" w:rsidR="00165A99" w:rsidRPr="00A30560" w:rsidRDefault="00165A99" w:rsidP="00A30560">
                      <w:pPr>
                        <w:pStyle w:val="NormalWeb"/>
                        <w:spacing w:before="0" w:beforeAutospacing="0" w:after="0" w:afterAutospacing="0"/>
                      </w:pPr>
                      <w:r>
                        <w:rPr>
                          <w:rFonts w:ascii="Calibri" w:eastAsia="+mn-ea" w:hAnsi="Calibri" w:cs="+mn-cs"/>
                          <w:b/>
                          <w:bCs/>
                          <w:sz w:val="16"/>
                          <w:szCs w:val="16"/>
                        </w:rPr>
                        <w:t>73,74</w:t>
                      </w:r>
                      <w:r>
                        <w:rPr>
                          <w:rFonts w:ascii="Calibri" w:eastAsia="+mn-ea" w:hAnsi="Calibri" w:cs="+mn-cs"/>
                          <w:b/>
                          <w:bCs/>
                          <w:sz w:val="16"/>
                          <w:szCs w:val="16"/>
                          <w:lang w:val="bg-BG"/>
                        </w:rPr>
                        <w:t>%</w:t>
                      </w:r>
                    </w:p>
                  </w:txbxContent>
                </v:textbox>
              </v:shape>
            </w:pict>
          </mc:Fallback>
        </mc:AlternateContent>
      </w:r>
      <w:r w:rsidRPr="00EA175D">
        <w:rPr>
          <w:lang w:val="it-IT" w:eastAsia="it-IT"/>
        </w:rPr>
        <mc:AlternateContent>
          <mc:Choice Requires="wps">
            <w:drawing>
              <wp:anchor distT="0" distB="0" distL="114300" distR="114300" simplePos="0" relativeHeight="251669504" behindDoc="0" locked="0" layoutInCell="1" allowOverlap="1" wp14:anchorId="79FD2424" wp14:editId="7F6079A7">
                <wp:simplePos x="0" y="0"/>
                <wp:positionH relativeFrom="column">
                  <wp:posOffset>769620</wp:posOffset>
                </wp:positionH>
                <wp:positionV relativeFrom="paragraph">
                  <wp:posOffset>75565</wp:posOffset>
                </wp:positionV>
                <wp:extent cx="971550" cy="228600"/>
                <wp:effectExtent l="0" t="0" r="0" b="0"/>
                <wp:wrapNone/>
                <wp:docPr id="36" name="Text Box 1"/>
                <wp:cNvGraphicFramePr/>
                <a:graphic xmlns:a="http://schemas.openxmlformats.org/drawingml/2006/main">
                  <a:graphicData uri="http://schemas.microsoft.com/office/word/2010/wordprocessingShape">
                    <wps:wsp>
                      <wps:cNvSpPr txBox="1"/>
                      <wps:spPr>
                        <a:xfrm>
                          <a:off x="0" y="0"/>
                          <a:ext cx="971550" cy="228600"/>
                        </a:xfrm>
                        <a:prstGeom prst="rect">
                          <a:avLst/>
                        </a:prstGeom>
                      </wps:spPr>
                      <wps:txbx>
                        <w:txbxContent>
                          <w:p w14:paraId="1179717A" w14:textId="77777777" w:rsidR="006C23D3" w:rsidRDefault="006C23D3" w:rsidP="00A30560">
                            <w:pPr>
                              <w:pStyle w:val="ae"/>
                              <w:spacing w:before="0" w:beforeAutospacing="0" w:after="0" w:afterAutospacing="0"/>
                            </w:pPr>
                            <w:r>
                              <w:rPr>
                                <w:rFonts w:ascii="Calibri" w:eastAsia="+mn-ea" w:hAnsi="Calibri" w:cs="+mn-cs"/>
                                <w:b/>
                                <w:bCs/>
                                <w:sz w:val="16"/>
                                <w:szCs w:val="16"/>
                                <w:lang w:val="bg-BG"/>
                              </w:rPr>
                              <w:t>% на одобрение</w:t>
                            </w:r>
                          </w:p>
                        </w:txbxContent>
                      </wps:txbx>
                      <wps:bodyPr vertOverflow="clip" wrap="square" rtlCol="0"/>
                    </wps:wsp>
                  </a:graphicData>
                </a:graphic>
              </wp:anchor>
            </w:drawing>
          </mc:Choice>
          <mc:Fallback>
            <w:pict>
              <v:shape id="_x0000_s1029" type="#_x0000_t202" style="position:absolute;left:0;text-align:left;margin-left:60.6pt;margin-top:5.95pt;width:76.5pt;height:18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" filled="f" stroked="f">
                <v:textbox>
                  <w:txbxContent>
                    <w:p w14:paraId="1179717A" w14:textId="77777777" w:rsidR="00165A99" w:rsidRDefault="00165A99" w:rsidP="00A30560">
                      <w:pPr>
                        <w:pStyle w:val="NormalWeb"/>
                        <w:spacing w:before="0" w:beforeAutospacing="0" w:after="0" w:afterAutospacing="0"/>
                      </w:pPr>
                      <w:r>
                        <w:rPr>
                          <w:rFonts w:ascii="Calibri" w:eastAsia="+mn-ea" w:hAnsi="Calibri" w:cs="+mn-cs"/>
                          <w:b/>
                          <w:bCs/>
                          <w:sz w:val="16"/>
                          <w:szCs w:val="16"/>
                          <w:lang w:val="bg-BG"/>
                        </w:rPr>
                        <w:t>% на одобрение</w:t>
                      </w:r>
                    </w:p>
                  </w:txbxContent>
                </v:textbox>
              </v:shape>
            </w:pict>
          </mc:Fallback>
        </mc:AlternateContent>
      </w:r>
      <w:r w:rsidR="00FA78D3" w:rsidRPr="00EA175D">
        <w:rPr>
          <w:lang w:val="it-IT" w:eastAsia="it-IT"/>
        </w:rPr>
        <w:drawing>
          <wp:inline distT="0" distB="0" distL="0" distR="0" wp14:anchorId="3327F02F" wp14:editId="1E35FFF0">
            <wp:extent cx="4572000" cy="3121572"/>
            <wp:effectExtent l="0" t="0" r="19050" b="22225"/>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1DB75C3E" w14:textId="77777777" w:rsidR="00257F5F" w:rsidRPr="00EA175D" w:rsidRDefault="00257F5F" w:rsidP="00EA175D">
      <w:pPr>
        <w:spacing w:line="360" w:lineRule="auto"/>
        <w:ind w:firstLine="567"/>
        <w:jc w:val="both"/>
        <w:rPr>
          <w:lang w:val="en-GB"/>
        </w:rPr>
      </w:pPr>
    </w:p>
    <w:p w14:paraId="1E5A6B5A" w14:textId="393938D8" w:rsidR="00C85941" w:rsidRPr="00F77584" w:rsidRDefault="00AF1D6D" w:rsidP="00EA175D">
      <w:pPr>
        <w:spacing w:line="360" w:lineRule="auto"/>
        <w:ind w:firstLine="567"/>
        <w:jc w:val="both"/>
        <w:rPr>
          <w:lang w:val="ru-RU"/>
        </w:rPr>
      </w:pPr>
      <w:r w:rsidRPr="00EA175D">
        <w:t>П</w:t>
      </w:r>
      <w:r w:rsidRPr="00F77584">
        <w:rPr>
          <w:lang w:val="ru-RU"/>
        </w:rPr>
        <w:t xml:space="preserve">редставените </w:t>
      </w:r>
      <w:r w:rsidRPr="00EA175D">
        <w:t xml:space="preserve">на горната фигура </w:t>
      </w:r>
      <w:r w:rsidRPr="00F77584">
        <w:rPr>
          <w:lang w:val="ru-RU"/>
        </w:rPr>
        <w:t xml:space="preserve">данни </w:t>
      </w:r>
      <w:r w:rsidRPr="00EA175D">
        <w:t>показват високи нива на одобрение на кандидатите по първия</w:t>
      </w:r>
      <w:r w:rsidRPr="00F77584">
        <w:rPr>
          <w:lang w:val="ru-RU"/>
        </w:rPr>
        <w:t xml:space="preserve"> прием на стратегии по подмярка 19.2. По </w:t>
      </w:r>
      <w:r w:rsidR="007F5D18" w:rsidRPr="00EA175D">
        <w:t xml:space="preserve">първия </w:t>
      </w:r>
      <w:r w:rsidRPr="00F77584">
        <w:rPr>
          <w:lang w:val="ru-RU"/>
        </w:rPr>
        <w:t xml:space="preserve">прием </w:t>
      </w:r>
      <w:r w:rsidR="007F5D18" w:rsidRPr="00EA175D">
        <w:t>са одобрени 73% от канндидатствалите общини, обхващащи 72% от кандидатствалите територии и 77,51% от населението. Тези резултати</w:t>
      </w:r>
      <w:r w:rsidRPr="00F77584">
        <w:rPr>
          <w:lang w:val="ru-RU"/>
        </w:rPr>
        <w:t xml:space="preserve"> показва</w:t>
      </w:r>
      <w:r w:rsidR="007F5D18" w:rsidRPr="00EA175D">
        <w:t>т</w:t>
      </w:r>
      <w:r w:rsidRPr="00F77584">
        <w:rPr>
          <w:lang w:val="ru-RU"/>
        </w:rPr>
        <w:t xml:space="preserve">, че </w:t>
      </w:r>
      <w:r w:rsidR="007F5D18" w:rsidRPr="00EA175D">
        <w:t>почти ¾ от</w:t>
      </w:r>
      <w:r w:rsidRPr="00F77584">
        <w:rPr>
          <w:lang w:val="ru-RU"/>
        </w:rPr>
        <w:t xml:space="preserve"> територии</w:t>
      </w:r>
      <w:r w:rsidR="007F5D18" w:rsidRPr="00EA175D">
        <w:t>те</w:t>
      </w:r>
      <w:r w:rsidRPr="00F77584">
        <w:rPr>
          <w:lang w:val="ru-RU"/>
        </w:rPr>
        <w:t xml:space="preserve"> </w:t>
      </w:r>
      <w:r w:rsidRPr="00F77584">
        <w:rPr>
          <w:lang w:val="ru-RU"/>
        </w:rPr>
        <w:lastRenderedPageBreak/>
        <w:t>и население</w:t>
      </w:r>
      <w:r w:rsidR="007F5D18" w:rsidRPr="00EA175D">
        <w:t xml:space="preserve">то, които са кандидатствали по първия прием по подмярка са успели </w:t>
      </w:r>
      <w:r w:rsidRPr="00F77584">
        <w:rPr>
          <w:lang w:val="ru-RU"/>
        </w:rPr>
        <w:t xml:space="preserve">да получат финансиране за прилагане на подхода, което </w:t>
      </w:r>
      <w:r w:rsidR="007F5D18" w:rsidRPr="00EA175D">
        <w:t>би благоприятствало</w:t>
      </w:r>
      <w:r w:rsidR="00284C19">
        <w:t xml:space="preserve"> </w:t>
      </w:r>
      <w:r w:rsidR="00C10214" w:rsidRPr="00EA175D">
        <w:t>и спомогнало</w:t>
      </w:r>
      <w:r w:rsidRPr="00F77584">
        <w:rPr>
          <w:lang w:val="ru-RU"/>
        </w:rPr>
        <w:t xml:space="preserve"> тяхното развитие.</w:t>
      </w:r>
    </w:p>
    <w:p w14:paraId="0DD51159" w14:textId="77777777" w:rsidR="005A2C19" w:rsidRPr="00EA175D" w:rsidRDefault="00FE64A3" w:rsidP="00EA175D">
      <w:pPr>
        <w:spacing w:line="360" w:lineRule="auto"/>
        <w:ind w:firstLine="567"/>
        <w:jc w:val="both"/>
      </w:pPr>
      <w:r w:rsidRPr="00EA175D">
        <w:t>По първия прием на заявления по подмярка 19.2 са одобрени 40 стратегии за ВОМР на МИГ. В последствие</w:t>
      </w:r>
      <w:r w:rsidR="00D91028" w:rsidRPr="00EA175D">
        <w:t>, поради неизпълнение на условия за допустимост,</w:t>
      </w:r>
      <w:r w:rsidRPr="00EA175D">
        <w:t xml:space="preserve"> </w:t>
      </w:r>
      <w:r w:rsidR="00D91028" w:rsidRPr="00EA175D">
        <w:t xml:space="preserve">споразумението на МИГ „Тетевен“ е прекратено от страна на УО на ПРСР 2014 – 2020 г. По този начин по първи прием одобрените стратегии на МИГ са 39 броя, а освободените средства от стратегията на МИГ „Тетевен“ са пренасочени ъм бюджета на втория прием на стратегии по подмярка 19.2. Тъй като стратегията на МИГ „Тетевен“ не е била в процес на изпълнение, за целите на настоящата оценка и с цел коректното и адекватно отразяване на процеса на изпълнение на стратегиите за ВОМР, се приема, че одобрените по първи прием на стратегии по подмярка 19.2 са 39 броя. </w:t>
      </w:r>
    </w:p>
    <w:p w14:paraId="420738E8" w14:textId="77777777" w:rsidR="00F16491" w:rsidRPr="00EA175D" w:rsidRDefault="00D91028" w:rsidP="00EA175D">
      <w:pPr>
        <w:spacing w:line="360" w:lineRule="auto"/>
        <w:ind w:firstLine="567"/>
        <w:jc w:val="both"/>
      </w:pPr>
      <w:r w:rsidRPr="00EA175D">
        <w:t xml:space="preserve">Одобрените по първия прием по подмярка 19.2 стратегии са 39, като в одобрените местни инициативни групи се включват </w:t>
      </w:r>
      <w:r w:rsidR="002F2803" w:rsidRPr="00EA175D">
        <w:t xml:space="preserve">73 общини с територия 31 625  кв. км. и население 1 027 470 жители. От одобрените 39 стратегии 20 са еднофондови (35 общини с територия </w:t>
      </w:r>
      <w:r w:rsidR="004C79A5" w:rsidRPr="00EA175D">
        <w:t xml:space="preserve">15 801 кв. км. </w:t>
      </w:r>
      <w:r w:rsidR="002F2803" w:rsidRPr="00EA175D">
        <w:t xml:space="preserve">и население </w:t>
      </w:r>
      <w:r w:rsidR="00444A35" w:rsidRPr="00EA175D">
        <w:t xml:space="preserve">450 905 </w:t>
      </w:r>
      <w:r w:rsidR="002F2803" w:rsidRPr="00EA175D">
        <w:t xml:space="preserve">жители) и 19 са многофондови (38 общини с територия </w:t>
      </w:r>
      <w:r w:rsidR="00444A35" w:rsidRPr="00EA175D">
        <w:t xml:space="preserve">15 824 кв. км. </w:t>
      </w:r>
      <w:r w:rsidR="002F2803" w:rsidRPr="00EA175D">
        <w:t xml:space="preserve">и население </w:t>
      </w:r>
      <w:r w:rsidR="00444A35" w:rsidRPr="00EA175D">
        <w:t xml:space="preserve">576 565 </w:t>
      </w:r>
      <w:r w:rsidR="002F2803" w:rsidRPr="00EA175D">
        <w:t>жители).</w:t>
      </w:r>
      <w:r w:rsidR="00444A35" w:rsidRPr="00EA175D">
        <w:t xml:space="preserve"> От представените данни прави впечатление, че териториите на МИГ с многофондови стратегии са по-гъсто населени – 36,4 жители на кв. км. спрямо териториите на МИГ с еднофондови стратегии – 28,5 жители на кв. км. Тук може да се търси и една от причините за избор на многофондови стратегии, а именно по-големият потенциал за проекти, поради по-големия брой население на съответните територии.</w:t>
      </w:r>
    </w:p>
    <w:p w14:paraId="2A1EF140" w14:textId="540381A1" w:rsidR="000B5C19" w:rsidRPr="00EA175D" w:rsidRDefault="000B5C19" w:rsidP="00EA175D">
      <w:pPr>
        <w:spacing w:line="360" w:lineRule="auto"/>
        <w:ind w:firstLine="567"/>
        <w:jc w:val="both"/>
      </w:pPr>
      <w:r w:rsidRPr="00EA175D">
        <w:t>Договорените по първия прием по подмярка 19.2 средства са общо 200 558 104,67  лева (102 545 303,54 евро). По отделните програми са договорени следните средства: по ПРСР 2014 – 2020 г. – 145 888 257,27 лева</w:t>
      </w:r>
      <w:r w:rsidRPr="00F77584">
        <w:rPr>
          <w:lang w:val="ru-RU"/>
        </w:rPr>
        <w:t xml:space="preserve"> </w:t>
      </w:r>
      <w:r w:rsidRPr="00EA175D">
        <w:t xml:space="preserve"> </w:t>
      </w:r>
      <w:r w:rsidR="00493AE7">
        <w:t>(</w:t>
      </w:r>
      <w:r w:rsidRPr="00F77584">
        <w:rPr>
          <w:lang w:val="ru-RU"/>
        </w:rPr>
        <w:t>74</w:t>
      </w:r>
      <w:r w:rsidRPr="00EA175D">
        <w:t xml:space="preserve"> </w:t>
      </w:r>
      <w:r w:rsidRPr="00F77584">
        <w:rPr>
          <w:lang w:val="ru-RU"/>
        </w:rPr>
        <w:t>592</w:t>
      </w:r>
      <w:r w:rsidRPr="00EA175D">
        <w:t xml:space="preserve"> </w:t>
      </w:r>
      <w:r w:rsidRPr="00F77584">
        <w:rPr>
          <w:lang w:val="ru-RU"/>
        </w:rPr>
        <w:t>625</w:t>
      </w:r>
      <w:r w:rsidRPr="00EA175D">
        <w:t>,</w:t>
      </w:r>
      <w:r w:rsidRPr="00F77584">
        <w:rPr>
          <w:lang w:val="ru-RU"/>
        </w:rPr>
        <w:t xml:space="preserve">66 </w:t>
      </w:r>
      <w:r w:rsidRPr="00EA175D">
        <w:t>евро), по ОПИК 2014 – 2020 г. – 29 779 926 лева (15 226 467,94 евро); по ОПРЧР 2014 – 2020 г. – 21 742 879,40 лева (11 117 128,23 евро) и по ОПОС 2014 – 2020 г. – 3 147 042,00 лева (1 609 081,71 евро).</w:t>
      </w:r>
    </w:p>
    <w:p w14:paraId="0019FD58" w14:textId="77777777" w:rsidR="000B5C19" w:rsidRPr="00EA175D" w:rsidRDefault="000B5C19" w:rsidP="00EA175D">
      <w:pPr>
        <w:spacing w:line="360" w:lineRule="auto"/>
        <w:ind w:firstLine="567"/>
        <w:jc w:val="both"/>
      </w:pPr>
      <w:r w:rsidRPr="00EA175D">
        <w:t>Разпределението на разпологаемите и договорените средства по приема по програми е представено в следващата таблица:</w:t>
      </w:r>
    </w:p>
    <w:tbl>
      <w:tblPr>
        <w:tblStyle w:val="aa"/>
        <w:tblW w:w="0" w:type="auto"/>
        <w:tblLook w:val="04A0" w:firstRow="1" w:lastRow="0" w:firstColumn="1" w:lastColumn="0" w:noHBand="0" w:noVBand="1"/>
      </w:tblPr>
      <w:tblGrid>
        <w:gridCol w:w="2802"/>
        <w:gridCol w:w="2409"/>
        <w:gridCol w:w="2127"/>
        <w:gridCol w:w="2091"/>
      </w:tblGrid>
      <w:tr w:rsidR="000B5C19" w:rsidRPr="00EA175D" w14:paraId="654453E0" w14:textId="77777777" w:rsidTr="00DC1EB0">
        <w:tc>
          <w:tcPr>
            <w:tcW w:w="2802" w:type="dxa"/>
          </w:tcPr>
          <w:p w14:paraId="0018CB53" w14:textId="77777777" w:rsidR="000B5C19" w:rsidRPr="00EA175D" w:rsidRDefault="000B5C19" w:rsidP="00EA175D">
            <w:pPr>
              <w:spacing w:line="360" w:lineRule="auto"/>
              <w:jc w:val="both"/>
            </w:pPr>
            <w:r w:rsidRPr="00EA175D">
              <w:lastRenderedPageBreak/>
              <w:t>Финансираща програма</w:t>
            </w:r>
          </w:p>
        </w:tc>
        <w:tc>
          <w:tcPr>
            <w:tcW w:w="2409" w:type="dxa"/>
          </w:tcPr>
          <w:p w14:paraId="523CE507" w14:textId="77777777" w:rsidR="000B5C19" w:rsidRPr="00EA175D" w:rsidRDefault="000B5C19" w:rsidP="00EA175D">
            <w:pPr>
              <w:spacing w:line="360" w:lineRule="auto"/>
              <w:jc w:val="both"/>
            </w:pPr>
            <w:r w:rsidRPr="00EA175D">
              <w:t>Разполагаем бюджет, евро</w:t>
            </w:r>
          </w:p>
        </w:tc>
        <w:tc>
          <w:tcPr>
            <w:tcW w:w="2127" w:type="dxa"/>
          </w:tcPr>
          <w:p w14:paraId="052B1666" w14:textId="77777777" w:rsidR="000B5C19" w:rsidRPr="00EA175D" w:rsidRDefault="000B5C19" w:rsidP="00EA175D">
            <w:pPr>
              <w:spacing w:line="360" w:lineRule="auto"/>
              <w:jc w:val="both"/>
            </w:pPr>
            <w:r w:rsidRPr="00EA175D">
              <w:t>Договорен бюджет, евро</w:t>
            </w:r>
          </w:p>
        </w:tc>
        <w:tc>
          <w:tcPr>
            <w:tcW w:w="2091" w:type="dxa"/>
          </w:tcPr>
          <w:p w14:paraId="6107047F" w14:textId="77777777" w:rsidR="000B5C19" w:rsidRPr="00EA175D" w:rsidRDefault="000B5C19" w:rsidP="00EA175D">
            <w:pPr>
              <w:spacing w:line="360" w:lineRule="auto"/>
              <w:jc w:val="both"/>
            </w:pPr>
            <w:r w:rsidRPr="00EA175D">
              <w:t xml:space="preserve">Съотношение </w:t>
            </w:r>
          </w:p>
        </w:tc>
      </w:tr>
      <w:tr w:rsidR="0031495D" w:rsidRPr="00EA175D" w14:paraId="4B7FD425" w14:textId="77777777" w:rsidTr="00DC1EB0">
        <w:trPr>
          <w:trHeight w:val="94"/>
        </w:trPr>
        <w:tc>
          <w:tcPr>
            <w:tcW w:w="2802" w:type="dxa"/>
          </w:tcPr>
          <w:p w14:paraId="0952AD1E" w14:textId="77777777" w:rsidR="0031495D" w:rsidRPr="00EA175D" w:rsidRDefault="0031495D" w:rsidP="00EA175D">
            <w:pPr>
              <w:spacing w:line="360" w:lineRule="auto"/>
              <w:jc w:val="both"/>
              <w:rPr>
                <w:lang w:val="en-GB"/>
              </w:rPr>
            </w:pPr>
            <w:r w:rsidRPr="00EA175D">
              <w:t>ПРСР 2014 – 2020 г.</w:t>
            </w:r>
            <w:r w:rsidR="003F2EB4" w:rsidRPr="00EA175D">
              <w:rPr>
                <w:lang w:val="en-GB"/>
              </w:rPr>
              <w:t>*</w:t>
            </w:r>
          </w:p>
        </w:tc>
        <w:tc>
          <w:tcPr>
            <w:tcW w:w="2409" w:type="dxa"/>
          </w:tcPr>
          <w:p w14:paraId="43C80B39" w14:textId="77777777" w:rsidR="0031495D" w:rsidRPr="00EA175D" w:rsidRDefault="0031495D" w:rsidP="00EA175D">
            <w:pPr>
              <w:spacing w:line="360" w:lineRule="auto"/>
              <w:jc w:val="both"/>
            </w:pPr>
            <w:r w:rsidRPr="00EA175D">
              <w:t>76 708 917</w:t>
            </w:r>
          </w:p>
        </w:tc>
        <w:tc>
          <w:tcPr>
            <w:tcW w:w="2127" w:type="dxa"/>
          </w:tcPr>
          <w:p w14:paraId="6C6373CE" w14:textId="77777777" w:rsidR="0031495D" w:rsidRPr="00EA175D" w:rsidRDefault="0031495D" w:rsidP="00EA175D">
            <w:pPr>
              <w:spacing w:line="360" w:lineRule="auto"/>
              <w:jc w:val="both"/>
            </w:pPr>
            <w:r w:rsidRPr="00EA175D">
              <w:t>74 592 626</w:t>
            </w:r>
          </w:p>
        </w:tc>
        <w:tc>
          <w:tcPr>
            <w:tcW w:w="2091" w:type="dxa"/>
          </w:tcPr>
          <w:p w14:paraId="3E5E8778" w14:textId="77777777" w:rsidR="0031495D" w:rsidRPr="00EA175D" w:rsidRDefault="00881755" w:rsidP="00EA175D">
            <w:pPr>
              <w:spacing w:line="360" w:lineRule="auto"/>
              <w:jc w:val="both"/>
            </w:pPr>
            <w:r w:rsidRPr="00EA175D">
              <w:rPr>
                <w:lang w:val="en-GB"/>
              </w:rPr>
              <w:t>97</w:t>
            </w:r>
            <w:r w:rsidRPr="00EA175D">
              <w:t>,24%</w:t>
            </w:r>
          </w:p>
        </w:tc>
      </w:tr>
      <w:tr w:rsidR="0031495D" w:rsidRPr="00EA175D" w14:paraId="07F4BB48" w14:textId="77777777" w:rsidTr="00DC1EB0">
        <w:tc>
          <w:tcPr>
            <w:tcW w:w="2802" w:type="dxa"/>
          </w:tcPr>
          <w:p w14:paraId="01FA6936" w14:textId="77777777" w:rsidR="0031495D" w:rsidRPr="00EA175D" w:rsidRDefault="0031495D" w:rsidP="00EA175D">
            <w:pPr>
              <w:spacing w:line="360" w:lineRule="auto"/>
              <w:jc w:val="both"/>
            </w:pPr>
            <w:r w:rsidRPr="00EA175D">
              <w:t>ОПИК 2014 – 2020 г.</w:t>
            </w:r>
          </w:p>
        </w:tc>
        <w:tc>
          <w:tcPr>
            <w:tcW w:w="2409" w:type="dxa"/>
          </w:tcPr>
          <w:p w14:paraId="7EA2E0F4" w14:textId="77777777" w:rsidR="0031495D" w:rsidRPr="00EA175D" w:rsidRDefault="0031495D" w:rsidP="00EA175D">
            <w:pPr>
              <w:spacing w:line="360" w:lineRule="auto"/>
              <w:jc w:val="both"/>
            </w:pPr>
            <w:r w:rsidRPr="00EA175D">
              <w:t>53 980 776</w:t>
            </w:r>
          </w:p>
        </w:tc>
        <w:tc>
          <w:tcPr>
            <w:tcW w:w="2127" w:type="dxa"/>
          </w:tcPr>
          <w:p w14:paraId="499CF484" w14:textId="77777777" w:rsidR="0031495D" w:rsidRPr="00EA175D" w:rsidRDefault="0031495D" w:rsidP="00EA175D">
            <w:pPr>
              <w:spacing w:line="360" w:lineRule="auto"/>
              <w:jc w:val="both"/>
            </w:pPr>
            <w:r w:rsidRPr="00EA175D">
              <w:t>15 226 468</w:t>
            </w:r>
          </w:p>
        </w:tc>
        <w:tc>
          <w:tcPr>
            <w:tcW w:w="2091" w:type="dxa"/>
          </w:tcPr>
          <w:p w14:paraId="255D50E2" w14:textId="77777777" w:rsidR="0031495D" w:rsidRPr="00EA175D" w:rsidRDefault="00881755" w:rsidP="00EA175D">
            <w:pPr>
              <w:spacing w:line="360" w:lineRule="auto"/>
              <w:jc w:val="both"/>
            </w:pPr>
            <w:r w:rsidRPr="00EA175D">
              <w:t>28,21%</w:t>
            </w:r>
          </w:p>
        </w:tc>
      </w:tr>
      <w:tr w:rsidR="0031495D" w:rsidRPr="00EA175D" w14:paraId="4919DFEE" w14:textId="77777777" w:rsidTr="00DC1EB0">
        <w:tc>
          <w:tcPr>
            <w:tcW w:w="2802" w:type="dxa"/>
          </w:tcPr>
          <w:p w14:paraId="52C17014" w14:textId="77777777" w:rsidR="0031495D" w:rsidRPr="00EA175D" w:rsidRDefault="0031495D" w:rsidP="00EA175D">
            <w:pPr>
              <w:spacing w:line="360" w:lineRule="auto"/>
              <w:jc w:val="both"/>
            </w:pPr>
            <w:r w:rsidRPr="00EA175D">
              <w:t>ОПРЧР 2014 – 2020 г.</w:t>
            </w:r>
          </w:p>
        </w:tc>
        <w:tc>
          <w:tcPr>
            <w:tcW w:w="2409" w:type="dxa"/>
          </w:tcPr>
          <w:p w14:paraId="61F58E93" w14:textId="77777777" w:rsidR="0031495D" w:rsidRPr="00EA175D" w:rsidRDefault="0031495D" w:rsidP="00EA175D">
            <w:pPr>
              <w:spacing w:line="360" w:lineRule="auto"/>
              <w:jc w:val="both"/>
            </w:pPr>
            <w:r w:rsidRPr="00EA175D">
              <w:rPr>
                <w:bCs/>
                <w:color w:val="000000"/>
              </w:rPr>
              <w:t>49 749 189</w:t>
            </w:r>
          </w:p>
        </w:tc>
        <w:tc>
          <w:tcPr>
            <w:tcW w:w="2127" w:type="dxa"/>
          </w:tcPr>
          <w:p w14:paraId="246B790B" w14:textId="77777777" w:rsidR="0031495D" w:rsidRPr="00EA175D" w:rsidRDefault="0031495D" w:rsidP="00EA175D">
            <w:pPr>
              <w:spacing w:line="360" w:lineRule="auto"/>
              <w:jc w:val="both"/>
            </w:pPr>
            <w:r w:rsidRPr="00EA175D">
              <w:t>11 117 128</w:t>
            </w:r>
          </w:p>
        </w:tc>
        <w:tc>
          <w:tcPr>
            <w:tcW w:w="2091" w:type="dxa"/>
          </w:tcPr>
          <w:p w14:paraId="4A0F5417" w14:textId="77777777" w:rsidR="0031495D" w:rsidRPr="00EA175D" w:rsidRDefault="00881755" w:rsidP="00EA175D">
            <w:pPr>
              <w:spacing w:line="360" w:lineRule="auto"/>
              <w:jc w:val="both"/>
            </w:pPr>
            <w:r w:rsidRPr="00EA175D">
              <w:t>22,35%</w:t>
            </w:r>
          </w:p>
        </w:tc>
      </w:tr>
      <w:tr w:rsidR="0031495D" w:rsidRPr="00EA175D" w14:paraId="18BE89CC" w14:textId="77777777" w:rsidTr="00DC1EB0">
        <w:tc>
          <w:tcPr>
            <w:tcW w:w="2802" w:type="dxa"/>
          </w:tcPr>
          <w:p w14:paraId="00B084AF" w14:textId="77777777" w:rsidR="0031495D" w:rsidRPr="00EA175D" w:rsidRDefault="0031495D" w:rsidP="00EA175D">
            <w:pPr>
              <w:spacing w:line="360" w:lineRule="auto"/>
              <w:jc w:val="both"/>
            </w:pPr>
            <w:r w:rsidRPr="00EA175D">
              <w:t>ОПОС 2014 – 2020 г.</w:t>
            </w:r>
          </w:p>
        </w:tc>
        <w:tc>
          <w:tcPr>
            <w:tcW w:w="2409" w:type="dxa"/>
          </w:tcPr>
          <w:p w14:paraId="0EDECB2D" w14:textId="77777777" w:rsidR="0031495D" w:rsidRPr="00EA175D" w:rsidRDefault="0031495D" w:rsidP="00EA175D">
            <w:pPr>
              <w:spacing w:line="360" w:lineRule="auto"/>
              <w:jc w:val="both"/>
            </w:pPr>
            <w:r w:rsidRPr="00EA175D">
              <w:rPr>
                <w:bCs/>
                <w:color w:val="000000"/>
              </w:rPr>
              <w:t>19 458 660</w:t>
            </w:r>
          </w:p>
        </w:tc>
        <w:tc>
          <w:tcPr>
            <w:tcW w:w="2127" w:type="dxa"/>
          </w:tcPr>
          <w:p w14:paraId="14252729" w14:textId="77777777" w:rsidR="0031495D" w:rsidRPr="00EA175D" w:rsidRDefault="0031495D" w:rsidP="00EA175D">
            <w:pPr>
              <w:spacing w:line="360" w:lineRule="auto"/>
              <w:jc w:val="both"/>
            </w:pPr>
            <w:r w:rsidRPr="00EA175D">
              <w:t>1 609 082</w:t>
            </w:r>
          </w:p>
        </w:tc>
        <w:tc>
          <w:tcPr>
            <w:tcW w:w="2091" w:type="dxa"/>
          </w:tcPr>
          <w:p w14:paraId="705C1C82" w14:textId="77777777" w:rsidR="0031495D" w:rsidRPr="00EA175D" w:rsidRDefault="00881755" w:rsidP="00EA175D">
            <w:pPr>
              <w:spacing w:line="360" w:lineRule="auto"/>
              <w:jc w:val="both"/>
            </w:pPr>
            <w:r w:rsidRPr="00EA175D">
              <w:t>8,27%</w:t>
            </w:r>
          </w:p>
        </w:tc>
      </w:tr>
      <w:tr w:rsidR="0031495D" w:rsidRPr="00EA175D" w14:paraId="2CE9CC07" w14:textId="77777777" w:rsidTr="00DC1EB0">
        <w:tc>
          <w:tcPr>
            <w:tcW w:w="2802" w:type="dxa"/>
          </w:tcPr>
          <w:p w14:paraId="60B91BD1" w14:textId="77777777" w:rsidR="0031495D" w:rsidRPr="00EA175D" w:rsidRDefault="0031495D" w:rsidP="00EA175D">
            <w:pPr>
              <w:spacing w:line="360" w:lineRule="auto"/>
              <w:jc w:val="both"/>
              <w:rPr>
                <w:lang w:val="en-GB"/>
              </w:rPr>
            </w:pPr>
            <w:r w:rsidRPr="00EA175D">
              <w:t>Общо</w:t>
            </w:r>
            <w:r w:rsidRPr="00EA175D">
              <w:rPr>
                <w:lang w:val="en-GB"/>
              </w:rPr>
              <w:t>*</w:t>
            </w:r>
            <w:r w:rsidR="003F2EB4" w:rsidRPr="00EA175D">
              <w:rPr>
                <w:lang w:val="en-GB"/>
              </w:rPr>
              <w:t>*</w:t>
            </w:r>
          </w:p>
        </w:tc>
        <w:tc>
          <w:tcPr>
            <w:tcW w:w="2409" w:type="dxa"/>
          </w:tcPr>
          <w:p w14:paraId="386D106B" w14:textId="77777777" w:rsidR="0031495D" w:rsidRPr="00EA175D" w:rsidRDefault="0031495D" w:rsidP="00EA175D">
            <w:pPr>
              <w:spacing w:line="360" w:lineRule="auto"/>
              <w:jc w:val="both"/>
              <w:rPr>
                <w:bCs/>
                <w:color w:val="000000"/>
              </w:rPr>
            </w:pPr>
            <w:r w:rsidRPr="00EA175D">
              <w:rPr>
                <w:bCs/>
                <w:color w:val="000000"/>
              </w:rPr>
              <w:t>199 897 542</w:t>
            </w:r>
          </w:p>
        </w:tc>
        <w:tc>
          <w:tcPr>
            <w:tcW w:w="2127" w:type="dxa"/>
          </w:tcPr>
          <w:p w14:paraId="4B1BBD80" w14:textId="77777777" w:rsidR="0031495D" w:rsidRPr="00EA175D" w:rsidRDefault="0031495D" w:rsidP="00EA175D">
            <w:pPr>
              <w:spacing w:line="360" w:lineRule="auto"/>
              <w:jc w:val="both"/>
            </w:pPr>
            <w:r w:rsidRPr="00EA175D">
              <w:t>102 545 304</w:t>
            </w:r>
          </w:p>
        </w:tc>
        <w:tc>
          <w:tcPr>
            <w:tcW w:w="2091" w:type="dxa"/>
          </w:tcPr>
          <w:p w14:paraId="0241AF2C" w14:textId="77777777" w:rsidR="0031495D" w:rsidRPr="00EA175D" w:rsidRDefault="00881755" w:rsidP="00EA175D">
            <w:pPr>
              <w:spacing w:line="360" w:lineRule="auto"/>
              <w:jc w:val="both"/>
            </w:pPr>
            <w:r w:rsidRPr="00EA175D">
              <w:t>51,30%</w:t>
            </w:r>
          </w:p>
        </w:tc>
      </w:tr>
    </w:tbl>
    <w:p w14:paraId="2045065C" w14:textId="77777777" w:rsidR="003F2EB4" w:rsidRPr="00EA175D" w:rsidRDefault="003F2EB4" w:rsidP="00EA175D">
      <w:pPr>
        <w:spacing w:line="360" w:lineRule="auto"/>
        <w:ind w:firstLine="567"/>
        <w:jc w:val="both"/>
        <w:rPr>
          <w:u w:val="single"/>
        </w:rPr>
      </w:pPr>
      <w:r w:rsidRPr="00F77584">
        <w:rPr>
          <w:u w:val="single"/>
          <w:lang w:val="ru-RU"/>
        </w:rPr>
        <w:t>*</w:t>
      </w:r>
      <w:r w:rsidRPr="00EA175D">
        <w:rPr>
          <w:u w:val="single"/>
        </w:rPr>
        <w:t>Забележка: следва да се има предвид, че бюджетът по ПРСР 2014 – 2020 г. е напълно договорен, но по-късно споразумението на МИГ „Тетевен“ е прекратено от УО на ПРСР 2014 – 2020 г. Информацията е подробно представена по-нататък в текста.</w:t>
      </w:r>
    </w:p>
    <w:p w14:paraId="1311AB6D" w14:textId="77777777" w:rsidR="000B5C19" w:rsidRPr="00F77584" w:rsidRDefault="003F2EB4" w:rsidP="00EA175D">
      <w:pPr>
        <w:spacing w:line="360" w:lineRule="auto"/>
        <w:ind w:firstLine="567"/>
        <w:jc w:val="both"/>
        <w:rPr>
          <w:u w:val="single"/>
          <w:lang w:val="ru-RU"/>
        </w:rPr>
      </w:pPr>
      <w:r w:rsidRPr="00F77584">
        <w:rPr>
          <w:u w:val="single"/>
          <w:lang w:val="ru-RU"/>
        </w:rPr>
        <w:t>**</w:t>
      </w:r>
      <w:r w:rsidRPr="00EA175D">
        <w:rPr>
          <w:u w:val="single"/>
        </w:rPr>
        <w:t>Забележка – общата стойност е взета като абсолютна стойност, без да отчита отделните фондове.</w:t>
      </w:r>
    </w:p>
    <w:p w14:paraId="27EA2A53" w14:textId="77777777" w:rsidR="00B0694A" w:rsidRPr="00F77584" w:rsidRDefault="00B0694A" w:rsidP="00EA175D">
      <w:pPr>
        <w:spacing w:line="360" w:lineRule="auto"/>
        <w:ind w:firstLine="567"/>
        <w:jc w:val="both"/>
        <w:rPr>
          <w:u w:val="single"/>
          <w:lang w:val="ru-RU"/>
        </w:rPr>
      </w:pPr>
    </w:p>
    <w:p w14:paraId="5D666EB1" w14:textId="77777777" w:rsidR="00B0694A" w:rsidRPr="00EA175D" w:rsidRDefault="00B0694A" w:rsidP="00EA175D">
      <w:pPr>
        <w:spacing w:line="360" w:lineRule="auto"/>
        <w:ind w:firstLine="567"/>
        <w:jc w:val="both"/>
      </w:pPr>
      <w:r w:rsidRPr="00EA175D">
        <w:t xml:space="preserve">От представените данни прави впечатление, че заявените и договорените средства по първия прием на заявления по подмярка 19.2 е под </w:t>
      </w:r>
      <w:r w:rsidR="009445E5" w:rsidRPr="00EA175D">
        <w:t xml:space="preserve">разполагаемият бюджет по всяка една от финансиращите програми. По този прием всички заявления, преминали етап на административно съответствие и допустимост са одобрени за финансиране. Подходът, възприет от УО на ПРСР 2014 – 2020 г. е в подкрепа на МИГ и предвижда по-голямо покритие на подхода ВОМР, но по този начин се получава натрупване на по-голям брой кандидати за по-малък бюджет за следващия втори прием на заявления. Прави впечатление, че заявените и договорени нива на финансиране по ПРСР 2014 – 2020 г. се запазват, докато по другите програми се понижават – по ОПИК с 12,32%, по ОПРЧР с 14,22%, по ОПОС с 0,48% и като цяло по приема – с 6,91%. </w:t>
      </w:r>
    </w:p>
    <w:p w14:paraId="3DB17383" w14:textId="77777777" w:rsidR="00181C7D" w:rsidRPr="00EA175D" w:rsidRDefault="00181C7D" w:rsidP="00EA175D">
      <w:pPr>
        <w:spacing w:line="360" w:lineRule="auto"/>
        <w:ind w:firstLine="567"/>
        <w:jc w:val="both"/>
      </w:pPr>
    </w:p>
    <w:p w14:paraId="5BA9420E" w14:textId="77777777" w:rsidR="00155C75" w:rsidRPr="00EA175D" w:rsidRDefault="00155C75" w:rsidP="00EA175D">
      <w:pPr>
        <w:spacing w:line="360" w:lineRule="auto"/>
        <w:ind w:firstLine="567"/>
        <w:jc w:val="both"/>
      </w:pPr>
      <w:r w:rsidRPr="00EA175D">
        <w:t>Местните инициативни групи, чиито стратегии са одобрени по първия прием са както следва:</w:t>
      </w:r>
    </w:p>
    <w:p w14:paraId="0757E848" w14:textId="77777777" w:rsidR="00F50CFB" w:rsidRPr="00EA175D" w:rsidRDefault="00F50CFB" w:rsidP="00EA175D">
      <w:pPr>
        <w:pStyle w:val="ab"/>
        <w:numPr>
          <w:ilvl w:val="0"/>
          <w:numId w:val="10"/>
        </w:numPr>
        <w:tabs>
          <w:tab w:val="left" w:pos="851"/>
        </w:tabs>
        <w:spacing w:line="360" w:lineRule="auto"/>
        <w:ind w:left="0" w:firstLine="567"/>
        <w:jc w:val="both"/>
      </w:pPr>
      <w:r w:rsidRPr="00EA175D">
        <w:t>Сдружение „Местна инициативна група Общини - Панагюрище, Стрелча, Лесичово“;</w:t>
      </w:r>
    </w:p>
    <w:p w14:paraId="5276D9C9" w14:textId="77777777" w:rsidR="00F50CFB" w:rsidRPr="00EA175D" w:rsidRDefault="00F50CFB" w:rsidP="00EA175D">
      <w:pPr>
        <w:pStyle w:val="ab"/>
        <w:numPr>
          <w:ilvl w:val="0"/>
          <w:numId w:val="10"/>
        </w:numPr>
        <w:tabs>
          <w:tab w:val="left" w:pos="851"/>
        </w:tabs>
        <w:spacing w:line="360" w:lineRule="auto"/>
        <w:ind w:left="0" w:firstLine="567"/>
        <w:jc w:val="both"/>
      </w:pPr>
      <w:r w:rsidRPr="00EA175D">
        <w:t>Сдружение „Местна инициативна група – Белово, Септември, Велинград“;</w:t>
      </w:r>
    </w:p>
    <w:p w14:paraId="348DE6BC" w14:textId="77777777" w:rsidR="00F50CFB" w:rsidRPr="00EA175D" w:rsidRDefault="00F50CFB" w:rsidP="00EA175D">
      <w:pPr>
        <w:pStyle w:val="ab"/>
        <w:numPr>
          <w:ilvl w:val="0"/>
          <w:numId w:val="10"/>
        </w:numPr>
        <w:tabs>
          <w:tab w:val="left" w:pos="851"/>
        </w:tabs>
        <w:spacing w:line="360" w:lineRule="auto"/>
        <w:ind w:left="0" w:firstLine="567"/>
        <w:jc w:val="both"/>
      </w:pPr>
      <w:r w:rsidRPr="00EA175D">
        <w:lastRenderedPageBreak/>
        <w:t>Сдружение „Местна инициативна група Високи Западни Родопи – Борино – Доспат – Сърница“;</w:t>
      </w:r>
    </w:p>
    <w:p w14:paraId="42D997A8" w14:textId="77777777" w:rsidR="00F50CFB" w:rsidRPr="00EA175D" w:rsidRDefault="00F50CFB" w:rsidP="00EA175D">
      <w:pPr>
        <w:pStyle w:val="ab"/>
        <w:numPr>
          <w:ilvl w:val="0"/>
          <w:numId w:val="10"/>
        </w:numPr>
        <w:tabs>
          <w:tab w:val="left" w:pos="851"/>
        </w:tabs>
        <w:spacing w:line="360" w:lineRule="auto"/>
        <w:ind w:left="0" w:firstLine="567"/>
        <w:jc w:val="both"/>
      </w:pPr>
      <w:r w:rsidRPr="00EA175D">
        <w:t>Сдружение „Местна инициативна група Ардино – Джебел“;</w:t>
      </w:r>
    </w:p>
    <w:p w14:paraId="309BEE4F" w14:textId="77777777" w:rsidR="00F50CFB" w:rsidRPr="00EA175D" w:rsidRDefault="00F50CFB" w:rsidP="00EA175D">
      <w:pPr>
        <w:pStyle w:val="ab"/>
        <w:numPr>
          <w:ilvl w:val="0"/>
          <w:numId w:val="10"/>
        </w:numPr>
        <w:tabs>
          <w:tab w:val="left" w:pos="851"/>
        </w:tabs>
        <w:spacing w:line="360" w:lineRule="auto"/>
        <w:ind w:left="0" w:firstLine="567"/>
        <w:jc w:val="both"/>
      </w:pPr>
      <w:r w:rsidRPr="00EA175D">
        <w:t>Сдружение „Местна инициативна група Сливница – Драгоман“;</w:t>
      </w:r>
    </w:p>
    <w:p w14:paraId="69122437" w14:textId="77777777" w:rsidR="00F50CFB" w:rsidRPr="00EA175D" w:rsidRDefault="00F50CFB" w:rsidP="00EA175D">
      <w:pPr>
        <w:pStyle w:val="ab"/>
        <w:numPr>
          <w:ilvl w:val="0"/>
          <w:numId w:val="10"/>
        </w:numPr>
        <w:tabs>
          <w:tab w:val="left" w:pos="851"/>
        </w:tabs>
        <w:spacing w:line="360" w:lineRule="auto"/>
        <w:ind w:left="0" w:firstLine="567"/>
        <w:jc w:val="both"/>
      </w:pPr>
      <w:r w:rsidRPr="00EA175D">
        <w:t>Сдружение „Местна инициативна група – Гоце Делчев – Гърмен – Хаджидимово“;</w:t>
      </w:r>
    </w:p>
    <w:p w14:paraId="780431D0" w14:textId="77777777" w:rsidR="00F50CFB" w:rsidRPr="00EA175D" w:rsidRDefault="00F50CFB" w:rsidP="00EA175D">
      <w:pPr>
        <w:pStyle w:val="ab"/>
        <w:numPr>
          <w:ilvl w:val="0"/>
          <w:numId w:val="10"/>
        </w:numPr>
        <w:tabs>
          <w:tab w:val="left" w:pos="851"/>
        </w:tabs>
        <w:spacing w:line="360" w:lineRule="auto"/>
        <w:ind w:left="0" w:firstLine="567"/>
        <w:jc w:val="both"/>
      </w:pPr>
      <w:r w:rsidRPr="00EA175D">
        <w:t>Сдружение „Местна инициативна група Тервел – Крушари“;</w:t>
      </w:r>
    </w:p>
    <w:p w14:paraId="53F7DE9D" w14:textId="77777777" w:rsidR="00F50CFB" w:rsidRPr="00EA175D" w:rsidRDefault="00F50CFB" w:rsidP="00EA175D">
      <w:pPr>
        <w:pStyle w:val="ab"/>
        <w:numPr>
          <w:ilvl w:val="0"/>
          <w:numId w:val="10"/>
        </w:numPr>
        <w:tabs>
          <w:tab w:val="left" w:pos="851"/>
        </w:tabs>
        <w:spacing w:line="360" w:lineRule="auto"/>
        <w:ind w:left="0" w:firstLine="567"/>
        <w:jc w:val="both"/>
      </w:pPr>
      <w:r w:rsidRPr="00EA175D">
        <w:t>Сдружение „Местна инициативна група Лясковец – Стражица“;</w:t>
      </w:r>
    </w:p>
    <w:p w14:paraId="67241628" w14:textId="77777777" w:rsidR="00F50CFB" w:rsidRPr="00EA175D" w:rsidRDefault="00F50CFB" w:rsidP="00EA175D">
      <w:pPr>
        <w:pStyle w:val="ab"/>
        <w:numPr>
          <w:ilvl w:val="0"/>
          <w:numId w:val="10"/>
        </w:numPr>
        <w:tabs>
          <w:tab w:val="left" w:pos="851"/>
        </w:tabs>
        <w:spacing w:line="360" w:lineRule="auto"/>
        <w:ind w:left="0" w:firstLine="567"/>
        <w:jc w:val="both"/>
      </w:pPr>
      <w:r w:rsidRPr="00EA175D">
        <w:t>Сдружение „Местна инициативна група Елхово – Болярово“;</w:t>
      </w:r>
    </w:p>
    <w:p w14:paraId="6E72F6A9" w14:textId="77777777" w:rsidR="00F50CFB" w:rsidRPr="00EA175D" w:rsidRDefault="00F50CFB" w:rsidP="00EA175D">
      <w:pPr>
        <w:pStyle w:val="ab"/>
        <w:numPr>
          <w:ilvl w:val="0"/>
          <w:numId w:val="10"/>
        </w:numPr>
        <w:tabs>
          <w:tab w:val="left" w:pos="993"/>
        </w:tabs>
        <w:spacing w:line="360" w:lineRule="auto"/>
        <w:ind w:left="0" w:firstLine="567"/>
        <w:jc w:val="both"/>
      </w:pPr>
      <w:r w:rsidRPr="00EA175D">
        <w:t>Сдружение „Местна инициативна група Троян, Априлци, Угърчин“;</w:t>
      </w:r>
    </w:p>
    <w:p w14:paraId="4B6DB472" w14:textId="77777777" w:rsidR="00F50CFB" w:rsidRPr="00EA175D" w:rsidRDefault="00F50CFB" w:rsidP="00EA175D">
      <w:pPr>
        <w:pStyle w:val="ab"/>
        <w:numPr>
          <w:ilvl w:val="0"/>
          <w:numId w:val="10"/>
        </w:numPr>
        <w:tabs>
          <w:tab w:val="left" w:pos="993"/>
        </w:tabs>
        <w:spacing w:line="360" w:lineRule="auto"/>
        <w:ind w:left="0" w:firstLine="567"/>
        <w:jc w:val="both"/>
      </w:pPr>
      <w:r w:rsidRPr="00EA175D">
        <w:t>Сдружение „Местна инициативна група Чирпан“;</w:t>
      </w:r>
    </w:p>
    <w:p w14:paraId="4AB0476A" w14:textId="77777777" w:rsidR="00F50CFB" w:rsidRPr="00EA175D" w:rsidRDefault="00F50CFB" w:rsidP="00EA175D">
      <w:pPr>
        <w:pStyle w:val="ab"/>
        <w:numPr>
          <w:ilvl w:val="0"/>
          <w:numId w:val="10"/>
        </w:numPr>
        <w:tabs>
          <w:tab w:val="left" w:pos="993"/>
        </w:tabs>
        <w:spacing w:line="360" w:lineRule="auto"/>
        <w:ind w:left="0" w:firstLine="567"/>
        <w:jc w:val="both"/>
      </w:pPr>
      <w:r w:rsidRPr="00EA175D">
        <w:t>Сдружение „Местна инициативна група Нови пазар – Каспичан“;</w:t>
      </w:r>
    </w:p>
    <w:p w14:paraId="67B08AB7" w14:textId="77777777" w:rsidR="00F50CFB" w:rsidRPr="00EA175D" w:rsidRDefault="00F50CFB" w:rsidP="00EA175D">
      <w:pPr>
        <w:pStyle w:val="ab"/>
        <w:numPr>
          <w:ilvl w:val="0"/>
          <w:numId w:val="10"/>
        </w:numPr>
        <w:tabs>
          <w:tab w:val="left" w:pos="993"/>
        </w:tabs>
        <w:spacing w:line="360" w:lineRule="auto"/>
        <w:ind w:left="0" w:firstLine="567"/>
        <w:jc w:val="both"/>
      </w:pPr>
      <w:r w:rsidRPr="00EA175D">
        <w:t>Сдружение „Местна инициативна група Перущица – Родопи“;</w:t>
      </w:r>
    </w:p>
    <w:p w14:paraId="7AC68D2E" w14:textId="77777777" w:rsidR="00F50CFB" w:rsidRPr="00EA175D" w:rsidRDefault="00F50CFB" w:rsidP="00EA175D">
      <w:pPr>
        <w:pStyle w:val="ab"/>
        <w:numPr>
          <w:ilvl w:val="0"/>
          <w:numId w:val="10"/>
        </w:numPr>
        <w:tabs>
          <w:tab w:val="left" w:pos="993"/>
        </w:tabs>
        <w:spacing w:line="360" w:lineRule="auto"/>
        <w:ind w:left="0" w:firstLine="567"/>
        <w:jc w:val="both"/>
      </w:pPr>
      <w:r w:rsidRPr="00EA175D">
        <w:t>Сдружение „Местна инициативна група Котел, Сунгурларе и Върбица“;</w:t>
      </w:r>
    </w:p>
    <w:p w14:paraId="2E2323D6" w14:textId="77777777" w:rsidR="00F24FD3" w:rsidRPr="00EA175D" w:rsidRDefault="00F50CFB" w:rsidP="00EA175D">
      <w:pPr>
        <w:pStyle w:val="ab"/>
        <w:numPr>
          <w:ilvl w:val="0"/>
          <w:numId w:val="10"/>
        </w:numPr>
        <w:tabs>
          <w:tab w:val="left" w:pos="993"/>
        </w:tabs>
        <w:spacing w:line="360" w:lineRule="auto"/>
        <w:ind w:left="0" w:firstLine="567"/>
        <w:jc w:val="both"/>
      </w:pPr>
      <w:r w:rsidRPr="00EA175D">
        <w:t>Сдружение „Местна инициативна група Разлог“;</w:t>
      </w:r>
    </w:p>
    <w:p w14:paraId="1522819E" w14:textId="77777777" w:rsidR="00F24FD3" w:rsidRPr="00EA175D" w:rsidRDefault="00F24FD3" w:rsidP="00EA175D">
      <w:pPr>
        <w:pStyle w:val="ab"/>
        <w:numPr>
          <w:ilvl w:val="0"/>
          <w:numId w:val="10"/>
        </w:numPr>
        <w:tabs>
          <w:tab w:val="left" w:pos="993"/>
        </w:tabs>
        <w:spacing w:line="360" w:lineRule="auto"/>
        <w:ind w:left="0" w:firstLine="567"/>
        <w:jc w:val="both"/>
      </w:pPr>
      <w:r w:rsidRPr="00EA175D">
        <w:t>Сдружение „Местна инициативна група Сандан</w:t>
      </w:r>
      <w:r w:rsidR="00F50CFB" w:rsidRPr="00EA175D">
        <w:t xml:space="preserve">ски </w:t>
      </w:r>
      <w:r w:rsidRPr="00EA175D">
        <w:t>–</w:t>
      </w:r>
      <w:r w:rsidR="00F50CFB" w:rsidRPr="00EA175D">
        <w:t xml:space="preserve"> МИГ Сандански</w:t>
      </w:r>
      <w:r w:rsidRPr="00EA175D">
        <w:t>“;</w:t>
      </w:r>
    </w:p>
    <w:p w14:paraId="67D338B4" w14:textId="77777777" w:rsidR="00F24FD3" w:rsidRPr="00EA175D" w:rsidRDefault="00F24FD3" w:rsidP="00EA175D">
      <w:pPr>
        <w:pStyle w:val="ab"/>
        <w:numPr>
          <w:ilvl w:val="0"/>
          <w:numId w:val="10"/>
        </w:numPr>
        <w:tabs>
          <w:tab w:val="left" w:pos="993"/>
        </w:tabs>
        <w:spacing w:line="360" w:lineRule="auto"/>
        <w:ind w:left="0" w:firstLine="567"/>
        <w:jc w:val="both"/>
      </w:pPr>
      <w:r w:rsidRPr="00EA175D">
        <w:t>Сдружение „Местна инициативна група</w:t>
      </w:r>
      <w:r w:rsidR="00F50CFB" w:rsidRPr="00EA175D">
        <w:t xml:space="preserve"> </w:t>
      </w:r>
      <w:r w:rsidRPr="00EA175D">
        <w:t>–</w:t>
      </w:r>
      <w:r w:rsidR="00F50CFB" w:rsidRPr="00EA175D">
        <w:t xml:space="preserve"> Исперих</w:t>
      </w:r>
      <w:r w:rsidRPr="00EA175D">
        <w:t>“;</w:t>
      </w:r>
    </w:p>
    <w:p w14:paraId="2D3334F9" w14:textId="77777777" w:rsidR="00F24FD3" w:rsidRPr="00EA175D" w:rsidRDefault="00F50CFB" w:rsidP="00EA175D">
      <w:pPr>
        <w:pStyle w:val="ab"/>
        <w:numPr>
          <w:ilvl w:val="0"/>
          <w:numId w:val="10"/>
        </w:numPr>
        <w:tabs>
          <w:tab w:val="left" w:pos="993"/>
        </w:tabs>
        <w:spacing w:line="360" w:lineRule="auto"/>
        <w:ind w:left="0" w:firstLine="567"/>
        <w:jc w:val="both"/>
      </w:pPr>
      <w:r w:rsidRPr="00EA175D">
        <w:t xml:space="preserve">Сдружение </w:t>
      </w:r>
      <w:r w:rsidR="00F24FD3" w:rsidRPr="00EA175D">
        <w:t>„</w:t>
      </w:r>
      <w:r w:rsidRPr="00EA175D">
        <w:t>Местна инициативна група Раковски</w:t>
      </w:r>
      <w:r w:rsidR="00F24FD3" w:rsidRPr="00EA175D">
        <w:t>“;</w:t>
      </w:r>
    </w:p>
    <w:p w14:paraId="2083F74C" w14:textId="77777777" w:rsidR="00F24FD3" w:rsidRPr="00EA175D" w:rsidRDefault="00F50CFB" w:rsidP="00EA175D">
      <w:pPr>
        <w:pStyle w:val="ab"/>
        <w:numPr>
          <w:ilvl w:val="0"/>
          <w:numId w:val="10"/>
        </w:numPr>
        <w:tabs>
          <w:tab w:val="left" w:pos="993"/>
        </w:tabs>
        <w:spacing w:line="360" w:lineRule="auto"/>
        <w:ind w:left="0" w:firstLine="567"/>
        <w:jc w:val="both"/>
      </w:pPr>
      <w:r w:rsidRPr="00EA175D">
        <w:t xml:space="preserve">Сдружение </w:t>
      </w:r>
      <w:r w:rsidR="00F24FD3" w:rsidRPr="00EA175D">
        <w:t>„</w:t>
      </w:r>
      <w:r w:rsidRPr="00EA175D">
        <w:t xml:space="preserve">Местна инициативна група Гълъбово </w:t>
      </w:r>
      <w:r w:rsidR="00F24FD3" w:rsidRPr="00EA175D">
        <w:t>–</w:t>
      </w:r>
      <w:r w:rsidRPr="00EA175D">
        <w:t xml:space="preserve"> Опан</w:t>
      </w:r>
      <w:r w:rsidR="00F24FD3" w:rsidRPr="00EA175D">
        <w:t>“;</w:t>
      </w:r>
    </w:p>
    <w:p w14:paraId="01B2D2FD" w14:textId="77777777" w:rsidR="00F24FD3" w:rsidRPr="00EA175D" w:rsidRDefault="00F24FD3" w:rsidP="00EA175D">
      <w:pPr>
        <w:pStyle w:val="ab"/>
        <w:numPr>
          <w:ilvl w:val="0"/>
          <w:numId w:val="10"/>
        </w:numPr>
        <w:tabs>
          <w:tab w:val="left" w:pos="993"/>
        </w:tabs>
        <w:spacing w:line="360" w:lineRule="auto"/>
        <w:ind w:left="0" w:firstLine="567"/>
        <w:jc w:val="both"/>
      </w:pPr>
      <w:r w:rsidRPr="00EA175D">
        <w:t>Сдружение „Местна инициативна група</w:t>
      </w:r>
      <w:r w:rsidR="00F50CFB" w:rsidRPr="00EA175D">
        <w:t xml:space="preserve"> Девня </w:t>
      </w:r>
      <w:r w:rsidRPr="00EA175D">
        <w:t>–</w:t>
      </w:r>
      <w:r w:rsidR="00F50CFB" w:rsidRPr="00EA175D">
        <w:t xml:space="preserve"> Аксаково</w:t>
      </w:r>
      <w:r w:rsidRPr="00EA175D">
        <w:t>“;</w:t>
      </w:r>
    </w:p>
    <w:p w14:paraId="4454E61D" w14:textId="77777777" w:rsidR="00F50CFB" w:rsidRPr="00EA175D" w:rsidRDefault="00F50CFB" w:rsidP="00EA175D">
      <w:pPr>
        <w:pStyle w:val="ab"/>
        <w:numPr>
          <w:ilvl w:val="0"/>
          <w:numId w:val="10"/>
        </w:numPr>
        <w:tabs>
          <w:tab w:val="left" w:pos="993"/>
        </w:tabs>
        <w:spacing w:line="360" w:lineRule="auto"/>
        <w:ind w:left="0" w:firstLine="567"/>
        <w:jc w:val="both"/>
      </w:pPr>
      <w:r w:rsidRPr="00EA175D">
        <w:t xml:space="preserve">Сдружение </w:t>
      </w:r>
      <w:r w:rsidR="00F24FD3" w:rsidRPr="00EA175D">
        <w:t>„</w:t>
      </w:r>
      <w:r w:rsidRPr="00EA175D">
        <w:t xml:space="preserve">Местна инициативна група </w:t>
      </w:r>
      <w:r w:rsidR="00F24FD3" w:rsidRPr="00EA175D">
        <w:t>–</w:t>
      </w:r>
      <w:r w:rsidRPr="00EA175D">
        <w:t xml:space="preserve"> Берковица и Годеч</w:t>
      </w:r>
      <w:r w:rsidR="00F24FD3" w:rsidRPr="00EA175D">
        <w:t>“;</w:t>
      </w:r>
    </w:p>
    <w:p w14:paraId="080CB4D7" w14:textId="77777777" w:rsidR="00F24FD3" w:rsidRPr="00EA175D" w:rsidRDefault="00F24FD3" w:rsidP="00EA175D">
      <w:pPr>
        <w:pStyle w:val="ab"/>
        <w:numPr>
          <w:ilvl w:val="0"/>
          <w:numId w:val="10"/>
        </w:numPr>
        <w:tabs>
          <w:tab w:val="left" w:pos="993"/>
        </w:tabs>
        <w:spacing w:line="360" w:lineRule="auto"/>
        <w:ind w:left="0" w:firstLine="567"/>
        <w:jc w:val="both"/>
      </w:pPr>
      <w:r w:rsidRPr="00EA175D">
        <w:t xml:space="preserve">Сдружение „Местна инициативна група </w:t>
      </w:r>
      <w:r w:rsidR="00F50CFB" w:rsidRPr="00EA175D">
        <w:t xml:space="preserve">Завет </w:t>
      </w:r>
      <w:r w:rsidRPr="00EA175D">
        <w:t>–</w:t>
      </w:r>
      <w:r w:rsidR="00F50CFB" w:rsidRPr="00EA175D">
        <w:t xml:space="preserve"> Кубрат</w:t>
      </w:r>
      <w:r w:rsidRPr="00EA175D">
        <w:t>“;</w:t>
      </w:r>
    </w:p>
    <w:p w14:paraId="6A825F77" w14:textId="77777777" w:rsidR="00F24FD3" w:rsidRPr="00EA175D" w:rsidRDefault="00F24FD3" w:rsidP="00EA175D">
      <w:pPr>
        <w:pStyle w:val="ab"/>
        <w:numPr>
          <w:ilvl w:val="0"/>
          <w:numId w:val="10"/>
        </w:numPr>
        <w:tabs>
          <w:tab w:val="left" w:pos="993"/>
        </w:tabs>
        <w:spacing w:line="360" w:lineRule="auto"/>
        <w:ind w:left="0" w:firstLine="567"/>
        <w:jc w:val="both"/>
      </w:pPr>
      <w:r w:rsidRPr="00EA175D">
        <w:t xml:space="preserve">Сдружение „Местна инициативна група </w:t>
      </w:r>
      <w:r w:rsidR="00F50CFB" w:rsidRPr="00EA175D">
        <w:t>Костенец 2010</w:t>
      </w:r>
      <w:r w:rsidRPr="00EA175D">
        <w:t>“;</w:t>
      </w:r>
    </w:p>
    <w:p w14:paraId="26953D63" w14:textId="77777777" w:rsidR="007E7FFA" w:rsidRPr="00EA175D" w:rsidRDefault="007E7FFA" w:rsidP="00EA175D">
      <w:pPr>
        <w:pStyle w:val="ab"/>
        <w:numPr>
          <w:ilvl w:val="0"/>
          <w:numId w:val="10"/>
        </w:numPr>
        <w:tabs>
          <w:tab w:val="left" w:pos="993"/>
        </w:tabs>
        <w:spacing w:line="360" w:lineRule="auto"/>
        <w:ind w:left="0" w:firstLine="567"/>
        <w:jc w:val="both"/>
      </w:pPr>
      <w:r w:rsidRPr="00EA175D">
        <w:t>Сдружение „Местна инициативна група</w:t>
      </w:r>
      <w:r w:rsidR="00F50CFB" w:rsidRPr="00EA175D">
        <w:t xml:space="preserve"> </w:t>
      </w:r>
      <w:r w:rsidRPr="00EA175D">
        <w:t>–</w:t>
      </w:r>
      <w:r w:rsidR="00F50CFB" w:rsidRPr="00EA175D">
        <w:t xml:space="preserve"> Мъглиж, Казанлък, Гурково</w:t>
      </w:r>
      <w:r w:rsidRPr="00EA175D">
        <w:t>“;</w:t>
      </w:r>
    </w:p>
    <w:p w14:paraId="4660BAAF" w14:textId="77777777" w:rsidR="007E7FFA" w:rsidRPr="00EA175D" w:rsidRDefault="007E7FFA" w:rsidP="00EA175D">
      <w:pPr>
        <w:pStyle w:val="ab"/>
        <w:numPr>
          <w:ilvl w:val="0"/>
          <w:numId w:val="10"/>
        </w:numPr>
        <w:tabs>
          <w:tab w:val="left" w:pos="993"/>
        </w:tabs>
        <w:spacing w:line="360" w:lineRule="auto"/>
        <w:ind w:left="0" w:firstLine="567"/>
        <w:jc w:val="both"/>
      </w:pPr>
      <w:r w:rsidRPr="00EA175D">
        <w:t>Сдружение „Местна инициативна група</w:t>
      </w:r>
      <w:r w:rsidR="00F50CFB" w:rsidRPr="00EA175D">
        <w:t xml:space="preserve"> общини Елена и Златарица</w:t>
      </w:r>
      <w:r w:rsidRPr="00EA175D">
        <w:t>“;</w:t>
      </w:r>
    </w:p>
    <w:p w14:paraId="07E69C80" w14:textId="77777777" w:rsidR="007E7FFA" w:rsidRPr="00EA175D" w:rsidRDefault="007E7FFA" w:rsidP="00EA175D">
      <w:pPr>
        <w:pStyle w:val="ab"/>
        <w:numPr>
          <w:ilvl w:val="0"/>
          <w:numId w:val="10"/>
        </w:numPr>
        <w:tabs>
          <w:tab w:val="left" w:pos="993"/>
        </w:tabs>
        <w:spacing w:line="360" w:lineRule="auto"/>
        <w:ind w:left="0" w:firstLine="567"/>
        <w:jc w:val="both"/>
      </w:pPr>
      <w:r w:rsidRPr="00EA175D">
        <w:t>Сдружение „</w:t>
      </w:r>
      <w:r w:rsidR="00F50CFB" w:rsidRPr="00EA175D">
        <w:t xml:space="preserve">Местна инициативна група </w:t>
      </w:r>
      <w:r w:rsidRPr="00EA175D">
        <w:t>–</w:t>
      </w:r>
      <w:r w:rsidR="00F50CFB" w:rsidRPr="00EA175D">
        <w:t xml:space="preserve"> О</w:t>
      </w:r>
      <w:r w:rsidRPr="00EA175D">
        <w:t>бщина Марица“;</w:t>
      </w:r>
    </w:p>
    <w:p w14:paraId="350E9492" w14:textId="77777777" w:rsidR="007E7FFA" w:rsidRPr="00EA175D" w:rsidRDefault="007E7FFA" w:rsidP="00EA175D">
      <w:pPr>
        <w:pStyle w:val="ab"/>
        <w:numPr>
          <w:ilvl w:val="0"/>
          <w:numId w:val="10"/>
        </w:numPr>
        <w:tabs>
          <w:tab w:val="left" w:pos="993"/>
        </w:tabs>
        <w:spacing w:line="360" w:lineRule="auto"/>
        <w:ind w:left="0" w:firstLine="567"/>
        <w:jc w:val="both"/>
      </w:pPr>
      <w:r w:rsidRPr="00EA175D">
        <w:t xml:space="preserve">Сдружение „Местна инициативна група </w:t>
      </w:r>
      <w:r w:rsidR="00F50CFB" w:rsidRPr="00EA175D">
        <w:t xml:space="preserve">Общини Момчилград </w:t>
      </w:r>
      <w:r w:rsidRPr="00EA175D">
        <w:t>–</w:t>
      </w:r>
      <w:r w:rsidR="00F50CFB" w:rsidRPr="00EA175D">
        <w:t xml:space="preserve"> Крумовград</w:t>
      </w:r>
      <w:r w:rsidRPr="00EA175D">
        <w:t>“;</w:t>
      </w:r>
    </w:p>
    <w:p w14:paraId="0B66761D" w14:textId="77777777" w:rsidR="00E02F6C" w:rsidRPr="00EA175D" w:rsidRDefault="00F50CFB" w:rsidP="00EA175D">
      <w:pPr>
        <w:pStyle w:val="ab"/>
        <w:numPr>
          <w:ilvl w:val="0"/>
          <w:numId w:val="10"/>
        </w:numPr>
        <w:tabs>
          <w:tab w:val="left" w:pos="993"/>
        </w:tabs>
        <w:spacing w:line="360" w:lineRule="auto"/>
        <w:ind w:left="0" w:firstLine="567"/>
        <w:jc w:val="both"/>
      </w:pPr>
      <w:r w:rsidRPr="00EA175D">
        <w:t xml:space="preserve">Сдружение </w:t>
      </w:r>
      <w:r w:rsidR="00E02F6C" w:rsidRPr="00EA175D">
        <w:t>„</w:t>
      </w:r>
      <w:r w:rsidRPr="00EA175D">
        <w:t xml:space="preserve">Местна инициативна група Преспа </w:t>
      </w:r>
      <w:r w:rsidR="00E02F6C" w:rsidRPr="00EA175D">
        <w:t>–</w:t>
      </w:r>
      <w:r w:rsidRPr="00EA175D">
        <w:t xml:space="preserve"> об</w:t>
      </w:r>
      <w:r w:rsidR="00E02F6C" w:rsidRPr="00EA175D">
        <w:t>щини Баните, Лъки и Чепеларе“;</w:t>
      </w:r>
    </w:p>
    <w:p w14:paraId="74CDFE8A" w14:textId="77777777" w:rsidR="00E02F6C" w:rsidRPr="00EA175D" w:rsidRDefault="00E02F6C" w:rsidP="00EA175D">
      <w:pPr>
        <w:pStyle w:val="ab"/>
        <w:numPr>
          <w:ilvl w:val="0"/>
          <w:numId w:val="10"/>
        </w:numPr>
        <w:tabs>
          <w:tab w:val="left" w:pos="993"/>
        </w:tabs>
        <w:spacing w:line="360" w:lineRule="auto"/>
        <w:ind w:left="0" w:firstLine="567"/>
        <w:jc w:val="both"/>
      </w:pPr>
      <w:r w:rsidRPr="00EA175D">
        <w:lastRenderedPageBreak/>
        <w:t>Сдружение „Местна инициативна група</w:t>
      </w:r>
      <w:r w:rsidR="00F50CFB" w:rsidRPr="00EA175D">
        <w:t xml:space="preserve"> </w:t>
      </w:r>
      <w:r w:rsidRPr="00EA175D">
        <w:t>–</w:t>
      </w:r>
      <w:r w:rsidR="00F50CFB" w:rsidRPr="00EA175D">
        <w:t xml:space="preserve"> Попово</w:t>
      </w:r>
      <w:r w:rsidRPr="00EA175D">
        <w:t>“;</w:t>
      </w:r>
    </w:p>
    <w:p w14:paraId="1DAAE354" w14:textId="77777777" w:rsidR="00E02F6C" w:rsidRPr="00EA175D" w:rsidRDefault="00E02F6C" w:rsidP="00EA175D">
      <w:pPr>
        <w:pStyle w:val="ab"/>
        <w:numPr>
          <w:ilvl w:val="0"/>
          <w:numId w:val="10"/>
        </w:numPr>
        <w:tabs>
          <w:tab w:val="left" w:pos="993"/>
        </w:tabs>
        <w:spacing w:line="360" w:lineRule="auto"/>
        <w:ind w:left="0" w:firstLine="567"/>
        <w:jc w:val="both"/>
      </w:pPr>
      <w:r w:rsidRPr="00EA175D">
        <w:t>Сдружение „Местна инициативна група</w:t>
      </w:r>
      <w:r w:rsidR="00F50CFB" w:rsidRPr="00EA175D">
        <w:t xml:space="preserve"> Брезово, Братя Даскалови</w:t>
      </w:r>
      <w:r w:rsidRPr="00EA175D">
        <w:t>“;</w:t>
      </w:r>
    </w:p>
    <w:p w14:paraId="3FDFD645" w14:textId="77777777" w:rsidR="00E02F6C" w:rsidRPr="00EA175D" w:rsidRDefault="00F50CFB" w:rsidP="00EA175D">
      <w:pPr>
        <w:pStyle w:val="ab"/>
        <w:numPr>
          <w:ilvl w:val="0"/>
          <w:numId w:val="10"/>
        </w:numPr>
        <w:tabs>
          <w:tab w:val="left" w:pos="993"/>
        </w:tabs>
        <w:spacing w:line="360" w:lineRule="auto"/>
        <w:ind w:left="0" w:firstLine="567"/>
        <w:jc w:val="both"/>
      </w:pPr>
      <w:r w:rsidRPr="00EA175D">
        <w:t xml:space="preserve">Сдружение </w:t>
      </w:r>
      <w:r w:rsidR="00E02F6C" w:rsidRPr="00EA175D">
        <w:t>„</w:t>
      </w:r>
      <w:r w:rsidRPr="00EA175D">
        <w:t>Ме</w:t>
      </w:r>
      <w:r w:rsidR="00E02F6C" w:rsidRPr="00EA175D">
        <w:t>стна инициативна група Харманли“;</w:t>
      </w:r>
    </w:p>
    <w:p w14:paraId="092BFD38" w14:textId="77777777" w:rsidR="00E02F6C" w:rsidRPr="00EA175D" w:rsidRDefault="00E02F6C" w:rsidP="00EA175D">
      <w:pPr>
        <w:pStyle w:val="ab"/>
        <w:numPr>
          <w:ilvl w:val="0"/>
          <w:numId w:val="10"/>
        </w:numPr>
        <w:tabs>
          <w:tab w:val="left" w:pos="993"/>
        </w:tabs>
        <w:spacing w:line="360" w:lineRule="auto"/>
        <w:ind w:left="0" w:firstLine="567"/>
        <w:jc w:val="both"/>
      </w:pPr>
      <w:r w:rsidRPr="00EA175D">
        <w:t>Сдружение „Местна инициативна група</w:t>
      </w:r>
      <w:r w:rsidR="00F50CFB" w:rsidRPr="00EA175D">
        <w:t xml:space="preserve"> Средец</w:t>
      </w:r>
      <w:r w:rsidRPr="00EA175D">
        <w:t xml:space="preserve">“; </w:t>
      </w:r>
    </w:p>
    <w:p w14:paraId="779E1340" w14:textId="77777777" w:rsidR="00F50CFB" w:rsidRPr="00EA175D" w:rsidRDefault="00E02F6C" w:rsidP="00EA175D">
      <w:pPr>
        <w:pStyle w:val="ab"/>
        <w:numPr>
          <w:ilvl w:val="0"/>
          <w:numId w:val="10"/>
        </w:numPr>
        <w:tabs>
          <w:tab w:val="left" w:pos="993"/>
        </w:tabs>
        <w:spacing w:line="360" w:lineRule="auto"/>
        <w:ind w:left="0" w:firstLine="567"/>
        <w:jc w:val="both"/>
      </w:pPr>
      <w:r w:rsidRPr="00EA175D">
        <w:t>Сдружение „Местна инициативна група</w:t>
      </w:r>
      <w:r w:rsidR="00F50CFB" w:rsidRPr="00EA175D">
        <w:t xml:space="preserve"> </w:t>
      </w:r>
      <w:r w:rsidRPr="00EA175D">
        <w:t>–</w:t>
      </w:r>
      <w:r w:rsidR="00F50CFB" w:rsidRPr="00EA175D">
        <w:t xml:space="preserve"> Нова Загора</w:t>
      </w:r>
      <w:r w:rsidRPr="00EA175D">
        <w:t>“;</w:t>
      </w:r>
    </w:p>
    <w:p w14:paraId="06556A27" w14:textId="77777777" w:rsidR="00E02F6C" w:rsidRPr="00EA175D" w:rsidRDefault="00E02F6C" w:rsidP="00EA175D">
      <w:pPr>
        <w:pStyle w:val="ab"/>
        <w:numPr>
          <w:ilvl w:val="0"/>
          <w:numId w:val="10"/>
        </w:numPr>
        <w:tabs>
          <w:tab w:val="left" w:pos="993"/>
        </w:tabs>
        <w:spacing w:line="360" w:lineRule="auto"/>
        <w:ind w:left="0" w:firstLine="567"/>
        <w:jc w:val="both"/>
      </w:pPr>
      <w:r w:rsidRPr="00EA175D">
        <w:t xml:space="preserve">Сдружение „Местна инициативна група </w:t>
      </w:r>
      <w:r w:rsidR="00F50CFB" w:rsidRPr="00EA175D">
        <w:t>Поморие</w:t>
      </w:r>
      <w:r w:rsidRPr="00EA175D">
        <w:t>“;</w:t>
      </w:r>
    </w:p>
    <w:p w14:paraId="15D5FCDD" w14:textId="77777777" w:rsidR="00E02F6C" w:rsidRPr="00EA175D" w:rsidRDefault="00E02F6C" w:rsidP="00EA175D">
      <w:pPr>
        <w:pStyle w:val="ab"/>
        <w:numPr>
          <w:ilvl w:val="0"/>
          <w:numId w:val="10"/>
        </w:numPr>
        <w:tabs>
          <w:tab w:val="left" w:pos="993"/>
        </w:tabs>
        <w:spacing w:line="360" w:lineRule="auto"/>
        <w:ind w:left="0" w:firstLine="567"/>
        <w:jc w:val="both"/>
      </w:pPr>
      <w:r w:rsidRPr="00EA175D">
        <w:t>Сдружение „Местна инициативна група</w:t>
      </w:r>
      <w:r w:rsidR="00F50CFB" w:rsidRPr="00EA175D">
        <w:t xml:space="preserve"> </w:t>
      </w:r>
      <w:r w:rsidRPr="00EA175D">
        <w:t>–</w:t>
      </w:r>
      <w:r w:rsidR="00F50CFB" w:rsidRPr="00EA175D">
        <w:t xml:space="preserve"> Аврен </w:t>
      </w:r>
      <w:r w:rsidRPr="00EA175D">
        <w:t>–</w:t>
      </w:r>
      <w:r w:rsidR="00F50CFB" w:rsidRPr="00EA175D">
        <w:t xml:space="preserve"> Белослав</w:t>
      </w:r>
      <w:r w:rsidRPr="00EA175D">
        <w:t>“;</w:t>
      </w:r>
    </w:p>
    <w:p w14:paraId="4D526195" w14:textId="77777777" w:rsidR="00860E09" w:rsidRPr="00EA175D" w:rsidRDefault="00860E09" w:rsidP="00EA175D">
      <w:pPr>
        <w:pStyle w:val="ab"/>
        <w:numPr>
          <w:ilvl w:val="0"/>
          <w:numId w:val="10"/>
        </w:numPr>
        <w:tabs>
          <w:tab w:val="left" w:pos="993"/>
        </w:tabs>
        <w:spacing w:line="360" w:lineRule="auto"/>
        <w:ind w:left="0" w:firstLine="567"/>
        <w:jc w:val="both"/>
      </w:pPr>
      <w:r w:rsidRPr="00EA175D">
        <w:t>Сдружение „Местна инициативна група</w:t>
      </w:r>
      <w:r w:rsidR="00F50CFB" w:rsidRPr="00EA175D">
        <w:t xml:space="preserve"> Айтос</w:t>
      </w:r>
      <w:r w:rsidRPr="00EA175D">
        <w:t>“;</w:t>
      </w:r>
    </w:p>
    <w:p w14:paraId="6C766CEA" w14:textId="77777777" w:rsidR="00860E09" w:rsidRPr="00EA175D" w:rsidRDefault="00860E09" w:rsidP="00EA175D">
      <w:pPr>
        <w:pStyle w:val="ab"/>
        <w:numPr>
          <w:ilvl w:val="0"/>
          <w:numId w:val="10"/>
        </w:numPr>
        <w:tabs>
          <w:tab w:val="left" w:pos="993"/>
        </w:tabs>
        <w:spacing w:line="360" w:lineRule="auto"/>
        <w:ind w:left="0" w:firstLine="567"/>
        <w:jc w:val="both"/>
      </w:pPr>
      <w:r w:rsidRPr="00EA175D">
        <w:t>Сдружение „Местна инициативна група</w:t>
      </w:r>
      <w:r w:rsidR="00F50CFB" w:rsidRPr="00EA175D">
        <w:t xml:space="preserve"> </w:t>
      </w:r>
      <w:r w:rsidRPr="00EA175D">
        <w:t>–</w:t>
      </w:r>
      <w:r w:rsidR="00F50CFB" w:rsidRPr="00EA175D">
        <w:t xml:space="preserve"> общ</w:t>
      </w:r>
      <w:r w:rsidRPr="00EA175D">
        <w:t>ини Минерални бани и Черноочене“;</w:t>
      </w:r>
    </w:p>
    <w:p w14:paraId="163D3A68" w14:textId="77777777" w:rsidR="00860E09" w:rsidRPr="00EA175D" w:rsidRDefault="00860E09" w:rsidP="00EA175D">
      <w:pPr>
        <w:pStyle w:val="ab"/>
        <w:numPr>
          <w:ilvl w:val="0"/>
          <w:numId w:val="10"/>
        </w:numPr>
        <w:tabs>
          <w:tab w:val="left" w:pos="993"/>
        </w:tabs>
        <w:spacing w:line="360" w:lineRule="auto"/>
        <w:ind w:left="0" w:firstLine="567"/>
        <w:jc w:val="both"/>
      </w:pPr>
      <w:r w:rsidRPr="00EA175D">
        <w:t>Сдружение „Местна инициативна група</w:t>
      </w:r>
      <w:r w:rsidR="00F50CFB" w:rsidRPr="00EA175D">
        <w:t xml:space="preserve"> Белене </w:t>
      </w:r>
      <w:r w:rsidRPr="00EA175D">
        <w:t>–</w:t>
      </w:r>
      <w:r w:rsidR="00F50CFB" w:rsidRPr="00EA175D">
        <w:t xml:space="preserve"> Никопол</w:t>
      </w:r>
      <w:r w:rsidRPr="00EA175D">
        <w:t>“;</w:t>
      </w:r>
    </w:p>
    <w:p w14:paraId="45F662C0" w14:textId="77777777" w:rsidR="00155C75" w:rsidRPr="00EA175D" w:rsidRDefault="00860E09" w:rsidP="00EA175D">
      <w:pPr>
        <w:pStyle w:val="ab"/>
        <w:numPr>
          <w:ilvl w:val="0"/>
          <w:numId w:val="10"/>
        </w:numPr>
        <w:tabs>
          <w:tab w:val="left" w:pos="993"/>
        </w:tabs>
        <w:spacing w:line="360" w:lineRule="auto"/>
        <w:ind w:left="0" w:firstLine="567"/>
        <w:jc w:val="both"/>
      </w:pPr>
      <w:r w:rsidRPr="00EA175D">
        <w:t>Сдружение „Местна инициативна група</w:t>
      </w:r>
      <w:r w:rsidR="00F50CFB" w:rsidRPr="00EA175D">
        <w:t xml:space="preserve"> Любимец </w:t>
      </w:r>
      <w:r w:rsidRPr="00EA175D">
        <w:t>–</w:t>
      </w:r>
      <w:r w:rsidR="00F50CFB" w:rsidRPr="00EA175D">
        <w:t xml:space="preserve"> Ивайловград</w:t>
      </w:r>
      <w:r w:rsidRPr="00EA175D">
        <w:t>“.</w:t>
      </w:r>
    </w:p>
    <w:p w14:paraId="183737B8" w14:textId="77777777" w:rsidR="00970B4B" w:rsidRPr="00EA175D" w:rsidRDefault="00970B4B" w:rsidP="00EA175D">
      <w:pPr>
        <w:pStyle w:val="ab"/>
        <w:tabs>
          <w:tab w:val="left" w:pos="993"/>
        </w:tabs>
        <w:spacing w:line="360" w:lineRule="auto"/>
        <w:ind w:left="567"/>
        <w:jc w:val="both"/>
      </w:pPr>
    </w:p>
    <w:p w14:paraId="19614AC3" w14:textId="77777777" w:rsidR="00741AB6" w:rsidRPr="00EA175D" w:rsidRDefault="00741AB6" w:rsidP="00EA175D">
      <w:pPr>
        <w:pStyle w:val="ab"/>
        <w:tabs>
          <w:tab w:val="left" w:pos="993"/>
        </w:tabs>
        <w:spacing w:line="360" w:lineRule="auto"/>
        <w:ind w:left="0" w:firstLine="567"/>
        <w:jc w:val="both"/>
      </w:pPr>
      <w:r w:rsidRPr="00EA175D">
        <w:t>Местните инициативни групи, чиито стратегии за ВОМР не са одобрени за финансиране по първия прием за стратегии по подмярка 19.2 са както следва:</w:t>
      </w:r>
    </w:p>
    <w:p w14:paraId="447DE82A" w14:textId="77777777" w:rsidR="005A05D8" w:rsidRPr="00EA175D" w:rsidRDefault="005A05D8" w:rsidP="00EA175D">
      <w:pPr>
        <w:pStyle w:val="ab"/>
        <w:numPr>
          <w:ilvl w:val="0"/>
          <w:numId w:val="11"/>
        </w:numPr>
        <w:tabs>
          <w:tab w:val="left" w:pos="993"/>
        </w:tabs>
        <w:spacing w:line="360" w:lineRule="auto"/>
        <w:jc w:val="both"/>
      </w:pPr>
      <w:r w:rsidRPr="00EA175D">
        <w:t xml:space="preserve">Сдружение „Местна инициативна </w:t>
      </w:r>
      <w:r w:rsidR="00CE28F8" w:rsidRPr="00EA175D">
        <w:t xml:space="preserve">група </w:t>
      </w:r>
      <w:r w:rsidRPr="00EA175D">
        <w:t>Ябланица – Правец“;</w:t>
      </w:r>
    </w:p>
    <w:p w14:paraId="2D407E7B" w14:textId="2590DA67" w:rsidR="00CE28F8" w:rsidRPr="00EA175D" w:rsidRDefault="00CE28F8" w:rsidP="00EA175D">
      <w:pPr>
        <w:pStyle w:val="ab"/>
        <w:numPr>
          <w:ilvl w:val="0"/>
          <w:numId w:val="11"/>
        </w:numPr>
        <w:tabs>
          <w:tab w:val="left" w:pos="993"/>
        </w:tabs>
        <w:spacing w:line="360" w:lineRule="auto"/>
        <w:jc w:val="both"/>
      </w:pPr>
      <w:r w:rsidRPr="00EA175D">
        <w:t>Сдружение „Местна инициативна група</w:t>
      </w:r>
      <w:r w:rsidR="005A05D8" w:rsidRPr="00EA175D">
        <w:t xml:space="preserve"> Гулянци</w:t>
      </w:r>
      <w:r w:rsidR="00493AE7">
        <w:t>“;</w:t>
      </w:r>
    </w:p>
    <w:p w14:paraId="1E410BC1" w14:textId="77777777" w:rsidR="005A05D8" w:rsidRPr="00EA175D" w:rsidRDefault="00CE28F8" w:rsidP="00EA175D">
      <w:pPr>
        <w:pStyle w:val="ab"/>
        <w:numPr>
          <w:ilvl w:val="0"/>
          <w:numId w:val="11"/>
        </w:numPr>
        <w:tabs>
          <w:tab w:val="left" w:pos="993"/>
        </w:tabs>
        <w:spacing w:line="360" w:lineRule="auto"/>
        <w:jc w:val="both"/>
      </w:pPr>
      <w:r w:rsidRPr="00EA175D">
        <w:t xml:space="preserve">Сдружение „Местна инициативна група </w:t>
      </w:r>
      <w:r w:rsidR="005A05D8" w:rsidRPr="00EA175D">
        <w:t>общини Левски, Летница и Пордим</w:t>
      </w:r>
      <w:r w:rsidRPr="00EA175D">
        <w:t>“</w:t>
      </w:r>
      <w:r w:rsidRPr="00F77584">
        <w:rPr>
          <w:lang w:val="ru-RU"/>
        </w:rPr>
        <w:t>;</w:t>
      </w:r>
    </w:p>
    <w:p w14:paraId="406CA123" w14:textId="77777777" w:rsidR="005A05D8" w:rsidRPr="00EA175D" w:rsidRDefault="00CE28F8" w:rsidP="00EA175D">
      <w:pPr>
        <w:pStyle w:val="ab"/>
        <w:numPr>
          <w:ilvl w:val="0"/>
          <w:numId w:val="11"/>
        </w:numPr>
        <w:tabs>
          <w:tab w:val="left" w:pos="993"/>
        </w:tabs>
        <w:spacing w:line="360" w:lineRule="auto"/>
        <w:jc w:val="both"/>
      </w:pPr>
      <w:r w:rsidRPr="00EA175D">
        <w:t>Сдружение „Местна инициативна група</w:t>
      </w:r>
      <w:r w:rsidR="005A05D8" w:rsidRPr="00EA175D">
        <w:t xml:space="preserve"> Дулово </w:t>
      </w:r>
      <w:r w:rsidRPr="00EA175D">
        <w:t>–</w:t>
      </w:r>
      <w:r w:rsidR="005A05D8" w:rsidRPr="00EA175D">
        <w:t xml:space="preserve"> Алфатар </w:t>
      </w:r>
      <w:r w:rsidRPr="00EA175D">
        <w:t>–</w:t>
      </w:r>
      <w:r w:rsidR="005A05D8" w:rsidRPr="00EA175D">
        <w:t xml:space="preserve"> Кайнарджа</w:t>
      </w:r>
      <w:r w:rsidRPr="00EA175D">
        <w:t>“;</w:t>
      </w:r>
    </w:p>
    <w:p w14:paraId="226E9422" w14:textId="77777777" w:rsidR="005A05D8" w:rsidRPr="00EA175D" w:rsidRDefault="00CE28F8" w:rsidP="00EA175D">
      <w:pPr>
        <w:pStyle w:val="ab"/>
        <w:numPr>
          <w:ilvl w:val="0"/>
          <w:numId w:val="11"/>
        </w:numPr>
        <w:tabs>
          <w:tab w:val="left" w:pos="993"/>
        </w:tabs>
        <w:spacing w:line="360" w:lineRule="auto"/>
        <w:jc w:val="both"/>
      </w:pPr>
      <w:r w:rsidRPr="00EA175D">
        <w:t>Сдружение „Местна инициативна група</w:t>
      </w:r>
      <w:r w:rsidR="005A05D8" w:rsidRPr="00EA175D">
        <w:t xml:space="preserve"> Ценово </w:t>
      </w:r>
      <w:r w:rsidRPr="00EA175D">
        <w:t>–</w:t>
      </w:r>
      <w:r w:rsidR="005A05D8" w:rsidRPr="00EA175D">
        <w:t xml:space="preserve"> Свищов</w:t>
      </w:r>
      <w:r w:rsidRPr="00EA175D">
        <w:t>“;</w:t>
      </w:r>
    </w:p>
    <w:p w14:paraId="07359CB8" w14:textId="77777777" w:rsidR="005A05D8" w:rsidRPr="00EA175D" w:rsidRDefault="00CE28F8" w:rsidP="00EA175D">
      <w:pPr>
        <w:pStyle w:val="ab"/>
        <w:numPr>
          <w:ilvl w:val="0"/>
          <w:numId w:val="11"/>
        </w:numPr>
        <w:tabs>
          <w:tab w:val="left" w:pos="993"/>
        </w:tabs>
        <w:spacing w:line="360" w:lineRule="auto"/>
        <w:jc w:val="both"/>
      </w:pPr>
      <w:r w:rsidRPr="00EA175D">
        <w:t>Сдружение „Местна инициативна група „</w:t>
      </w:r>
      <w:r w:rsidR="005A05D8" w:rsidRPr="00EA175D">
        <w:t xml:space="preserve">Главиница </w:t>
      </w:r>
      <w:r w:rsidRPr="00EA175D">
        <w:t>–</w:t>
      </w:r>
      <w:r w:rsidR="005A05D8" w:rsidRPr="00EA175D">
        <w:t xml:space="preserve"> Ситово Крайдунавска Добруджа</w:t>
      </w:r>
      <w:r w:rsidRPr="00EA175D">
        <w:t>“;</w:t>
      </w:r>
    </w:p>
    <w:p w14:paraId="2EC9F372" w14:textId="77777777" w:rsidR="005A05D8" w:rsidRPr="00EA175D" w:rsidRDefault="00CE28F8" w:rsidP="00EA175D">
      <w:pPr>
        <w:pStyle w:val="ab"/>
        <w:numPr>
          <w:ilvl w:val="0"/>
          <w:numId w:val="11"/>
        </w:numPr>
        <w:tabs>
          <w:tab w:val="left" w:pos="993"/>
        </w:tabs>
        <w:spacing w:line="360" w:lineRule="auto"/>
        <w:jc w:val="both"/>
      </w:pPr>
      <w:r w:rsidRPr="00EA175D">
        <w:t>Сдружение „Местна инициативна група</w:t>
      </w:r>
      <w:r w:rsidR="005A05D8" w:rsidRPr="00EA175D">
        <w:t xml:space="preserve"> Балчик </w:t>
      </w:r>
      <w:r w:rsidRPr="00EA175D">
        <w:t>–</w:t>
      </w:r>
      <w:r w:rsidR="005A05D8" w:rsidRPr="00EA175D">
        <w:t xml:space="preserve"> Генерал Тошево</w:t>
      </w:r>
      <w:r w:rsidRPr="00EA175D">
        <w:t>“;</w:t>
      </w:r>
    </w:p>
    <w:p w14:paraId="148D2386" w14:textId="77777777" w:rsidR="005A05D8" w:rsidRPr="00EA175D" w:rsidRDefault="00CE28F8" w:rsidP="00EA175D">
      <w:pPr>
        <w:pStyle w:val="ab"/>
        <w:numPr>
          <w:ilvl w:val="0"/>
          <w:numId w:val="11"/>
        </w:numPr>
        <w:tabs>
          <w:tab w:val="left" w:pos="993"/>
        </w:tabs>
        <w:spacing w:line="360" w:lineRule="auto"/>
        <w:jc w:val="both"/>
      </w:pPr>
      <w:r w:rsidRPr="00EA175D">
        <w:t xml:space="preserve">Сдружение „Местна инициативна група </w:t>
      </w:r>
      <w:r w:rsidR="005A05D8" w:rsidRPr="00EA175D">
        <w:t>Долни Чифлик и Бяла</w:t>
      </w:r>
      <w:r w:rsidRPr="00EA175D">
        <w:t>“;</w:t>
      </w:r>
    </w:p>
    <w:p w14:paraId="05988D9F" w14:textId="77777777" w:rsidR="005A05D8" w:rsidRPr="00EA175D" w:rsidRDefault="00CE28F8" w:rsidP="00EA175D">
      <w:pPr>
        <w:pStyle w:val="ab"/>
        <w:numPr>
          <w:ilvl w:val="0"/>
          <w:numId w:val="11"/>
        </w:numPr>
        <w:tabs>
          <w:tab w:val="left" w:pos="993"/>
        </w:tabs>
        <w:spacing w:line="360" w:lineRule="auto"/>
        <w:jc w:val="both"/>
      </w:pPr>
      <w:r w:rsidRPr="00EA175D">
        <w:t>Сдружение „</w:t>
      </w:r>
      <w:r w:rsidR="005A05D8" w:rsidRPr="00EA175D">
        <w:t>Местна инициативна група Етрополски Балкан</w:t>
      </w:r>
      <w:r w:rsidRPr="00EA175D">
        <w:t>“;</w:t>
      </w:r>
    </w:p>
    <w:p w14:paraId="487DBA3E" w14:textId="77777777" w:rsidR="005A05D8" w:rsidRPr="00EA175D" w:rsidRDefault="00CE28F8" w:rsidP="00EA175D">
      <w:pPr>
        <w:pStyle w:val="ab"/>
        <w:numPr>
          <w:ilvl w:val="0"/>
          <w:numId w:val="11"/>
        </w:numPr>
        <w:tabs>
          <w:tab w:val="left" w:pos="993"/>
        </w:tabs>
        <w:spacing w:line="360" w:lineRule="auto"/>
        <w:jc w:val="both"/>
      </w:pPr>
      <w:r w:rsidRPr="00EA175D">
        <w:t>Сдружение „Местна инициативна група</w:t>
      </w:r>
      <w:r w:rsidR="005A05D8" w:rsidRPr="00EA175D">
        <w:t xml:space="preserve"> Царево </w:t>
      </w:r>
      <w:r w:rsidRPr="00EA175D">
        <w:t>–</w:t>
      </w:r>
      <w:r w:rsidR="005A05D8" w:rsidRPr="00EA175D">
        <w:t xml:space="preserve"> Малко Търново</w:t>
      </w:r>
      <w:r w:rsidRPr="00EA175D">
        <w:t>“;</w:t>
      </w:r>
    </w:p>
    <w:p w14:paraId="1A5EC02E" w14:textId="77777777" w:rsidR="005A05D8" w:rsidRPr="00EA175D" w:rsidRDefault="00CE28F8" w:rsidP="00EA175D">
      <w:pPr>
        <w:pStyle w:val="ab"/>
        <w:numPr>
          <w:ilvl w:val="0"/>
          <w:numId w:val="11"/>
        </w:numPr>
        <w:tabs>
          <w:tab w:val="left" w:pos="993"/>
        </w:tabs>
        <w:spacing w:line="360" w:lineRule="auto"/>
        <w:jc w:val="both"/>
      </w:pPr>
      <w:r w:rsidRPr="00EA175D">
        <w:t>Сдружение „Местна инициативна група</w:t>
      </w:r>
      <w:r w:rsidR="005A05D8" w:rsidRPr="00EA175D">
        <w:t xml:space="preserve"> </w:t>
      </w:r>
      <w:r w:rsidRPr="00EA175D">
        <w:t>–</w:t>
      </w:r>
      <w:r w:rsidR="005A05D8" w:rsidRPr="00EA175D">
        <w:t xml:space="preserve"> Тунджа</w:t>
      </w:r>
      <w:r w:rsidRPr="00EA175D">
        <w:t>“;</w:t>
      </w:r>
    </w:p>
    <w:p w14:paraId="3FFF6E84" w14:textId="77777777" w:rsidR="00CE28F8" w:rsidRPr="00EA175D" w:rsidRDefault="00CE28F8" w:rsidP="00EA175D">
      <w:pPr>
        <w:pStyle w:val="ab"/>
        <w:numPr>
          <w:ilvl w:val="0"/>
          <w:numId w:val="11"/>
        </w:numPr>
        <w:tabs>
          <w:tab w:val="left" w:pos="993"/>
        </w:tabs>
        <w:spacing w:line="360" w:lineRule="auto"/>
        <w:jc w:val="both"/>
      </w:pPr>
      <w:r w:rsidRPr="00EA175D">
        <w:t>Сдружение „Местна инициативна група Кирково – Златоград“;</w:t>
      </w:r>
    </w:p>
    <w:p w14:paraId="453F9492" w14:textId="77777777" w:rsidR="00741AB6" w:rsidRPr="00EA175D" w:rsidRDefault="00CE28F8" w:rsidP="00EA175D">
      <w:pPr>
        <w:pStyle w:val="ab"/>
        <w:numPr>
          <w:ilvl w:val="0"/>
          <w:numId w:val="11"/>
        </w:numPr>
        <w:tabs>
          <w:tab w:val="left" w:pos="993"/>
        </w:tabs>
        <w:spacing w:line="360" w:lineRule="auto"/>
        <w:jc w:val="both"/>
      </w:pPr>
      <w:r w:rsidRPr="00EA175D">
        <w:t>Сдружение „Местна инициативна група Каварна – Шабла“.</w:t>
      </w:r>
    </w:p>
    <w:p w14:paraId="33337DFB" w14:textId="77777777" w:rsidR="00306350" w:rsidRPr="00EA175D" w:rsidRDefault="00306350" w:rsidP="00EA175D">
      <w:pPr>
        <w:spacing w:line="360" w:lineRule="auto"/>
        <w:ind w:firstLine="567"/>
        <w:jc w:val="both"/>
      </w:pPr>
    </w:p>
    <w:p w14:paraId="5974D0F6" w14:textId="77777777" w:rsidR="008411DD" w:rsidRPr="00EA175D" w:rsidRDefault="00156DDA" w:rsidP="00EA175D">
      <w:pPr>
        <w:pStyle w:val="1"/>
        <w:numPr>
          <w:ilvl w:val="3"/>
          <w:numId w:val="1"/>
        </w:numPr>
        <w:tabs>
          <w:tab w:val="left" w:pos="993"/>
        </w:tabs>
        <w:spacing w:before="0" w:line="360" w:lineRule="auto"/>
        <w:ind w:left="0" w:firstLine="567"/>
        <w:jc w:val="both"/>
        <w:rPr>
          <w:rFonts w:ascii="Times New Roman" w:eastAsia="Calibri" w:hAnsi="Times New Roman" w:cs="Times New Roman"/>
          <w:bCs w:val="0"/>
          <w:color w:val="auto"/>
          <w:sz w:val="24"/>
          <w:szCs w:val="24"/>
        </w:rPr>
      </w:pPr>
      <w:bookmarkStart w:id="28" w:name="_Toc93489781"/>
      <w:r w:rsidRPr="00EA175D">
        <w:rPr>
          <w:rFonts w:ascii="Times New Roman" w:eastAsia="Calibri" w:hAnsi="Times New Roman" w:cs="Times New Roman"/>
          <w:bCs w:val="0"/>
          <w:color w:val="auto"/>
          <w:sz w:val="24"/>
          <w:szCs w:val="24"/>
        </w:rPr>
        <w:t>Втори прием за стратегии за ВОМР по подмярка 19.2</w:t>
      </w:r>
      <w:bookmarkEnd w:id="28"/>
    </w:p>
    <w:p w14:paraId="718151D8" w14:textId="77777777" w:rsidR="008A7904" w:rsidRPr="00EA175D" w:rsidRDefault="008A7904" w:rsidP="00EA175D">
      <w:pPr>
        <w:spacing w:line="360" w:lineRule="auto"/>
        <w:ind w:firstLine="567"/>
        <w:jc w:val="both"/>
      </w:pPr>
      <w:r w:rsidRPr="00EA175D">
        <w:t xml:space="preserve">Вторият прием на заявления по подмярка 19.2 е проведен в периода 30 юни 2017 г. – 31 август 2017 г. </w:t>
      </w:r>
      <w:r w:rsidR="005537A9" w:rsidRPr="00EA175D">
        <w:t>Вторият прием на заявления по подмярка 19.2 е проведен по условията на Закона за управление на средствата от европейските структурни и инвестиционни фондове и ПМС № 161. Условията за приема са включени в Насоки за определяне на условията за кандидатстване и условията за изпълнение на одобрените стратегии за Водено от общностите местно развитие. Приемът и последващата оценка на подадените заявления са извършени в ИСУН 2020.</w:t>
      </w:r>
    </w:p>
    <w:p w14:paraId="092DBB91" w14:textId="41175DE3" w:rsidR="00EF24AC" w:rsidRPr="00F77584" w:rsidRDefault="004E6F25" w:rsidP="00EA175D">
      <w:pPr>
        <w:spacing w:line="360" w:lineRule="auto"/>
        <w:ind w:firstLine="567"/>
        <w:jc w:val="both"/>
        <w:rPr>
          <w:bCs/>
          <w:color w:val="000000"/>
          <w:lang w:val="ru-RU"/>
        </w:rPr>
      </w:pPr>
      <w:r w:rsidRPr="00EA175D">
        <w:t xml:space="preserve">Първоначалният бюджет на приема е в размер на </w:t>
      </w:r>
      <w:r w:rsidR="00A37272" w:rsidRPr="00EA175D">
        <w:t xml:space="preserve">както следва: от ПРСР 2014 – 2020 г. </w:t>
      </w:r>
      <w:r w:rsidR="00A37272" w:rsidRPr="00EA175D">
        <w:rPr>
          <w:bCs/>
          <w:color w:val="000000"/>
        </w:rPr>
        <w:t xml:space="preserve">63 907 042,90 лева (32 675 653 евро), от </w:t>
      </w:r>
      <w:r w:rsidR="00FF6FF0" w:rsidRPr="00EA175D">
        <w:t xml:space="preserve">ОПИК 2014 – 2020 г. – 94 427 120 лева (48 280 560 евро); от ОПРЧР 2014 – 2020 г. – </w:t>
      </w:r>
      <w:r w:rsidR="00FF6FF0" w:rsidRPr="00EA175D">
        <w:rPr>
          <w:bCs/>
          <w:color w:val="000000"/>
        </w:rPr>
        <w:t xml:space="preserve">75 557 120 лева (38 632 334 евро); от ОПОС </w:t>
      </w:r>
      <w:r w:rsidR="00FF6FF0" w:rsidRPr="00EA175D">
        <w:t xml:space="preserve">2014 – 2020 г. </w:t>
      </w:r>
      <w:r w:rsidR="00FF6FF0" w:rsidRPr="00EA175D">
        <w:rPr>
          <w:bCs/>
          <w:color w:val="000000"/>
        </w:rPr>
        <w:t xml:space="preserve">– </w:t>
      </w:r>
      <w:r w:rsidR="00A0508B" w:rsidRPr="00EA175D">
        <w:t>34 910 789 лева (</w:t>
      </w:r>
      <w:r w:rsidR="00FF6FF0" w:rsidRPr="00EA175D">
        <w:rPr>
          <w:bCs/>
          <w:color w:val="000000"/>
        </w:rPr>
        <w:t>1</w:t>
      </w:r>
      <w:r w:rsidR="00A0508B" w:rsidRPr="00EA175D">
        <w:rPr>
          <w:bCs/>
          <w:color w:val="000000"/>
        </w:rPr>
        <w:t>7</w:t>
      </w:r>
      <w:r w:rsidR="00FF6FF0" w:rsidRPr="00EA175D">
        <w:rPr>
          <w:bCs/>
          <w:color w:val="000000"/>
        </w:rPr>
        <w:t xml:space="preserve"> 8</w:t>
      </w:r>
      <w:r w:rsidR="00A0508B" w:rsidRPr="00EA175D">
        <w:rPr>
          <w:bCs/>
          <w:color w:val="000000"/>
        </w:rPr>
        <w:t>49</w:t>
      </w:r>
      <w:r w:rsidR="00FF6FF0" w:rsidRPr="00EA175D">
        <w:rPr>
          <w:bCs/>
          <w:color w:val="000000"/>
        </w:rPr>
        <w:t xml:space="preserve"> 60</w:t>
      </w:r>
      <w:r w:rsidR="00A0508B" w:rsidRPr="00EA175D">
        <w:rPr>
          <w:bCs/>
          <w:color w:val="000000"/>
        </w:rPr>
        <w:t>3</w:t>
      </w:r>
      <w:r w:rsidR="00FF6FF0" w:rsidRPr="00EA175D">
        <w:rPr>
          <w:bCs/>
          <w:color w:val="000000"/>
        </w:rPr>
        <w:t xml:space="preserve"> евро</w:t>
      </w:r>
      <w:r w:rsidR="00A0508B" w:rsidRPr="00EA175D">
        <w:rPr>
          <w:bCs/>
          <w:color w:val="000000"/>
        </w:rPr>
        <w:t>)</w:t>
      </w:r>
      <w:r w:rsidR="00CB2973" w:rsidRPr="00EA175D">
        <w:rPr>
          <w:bCs/>
          <w:color w:val="000000"/>
        </w:rPr>
        <w:t>; от ОПНОИР 2014 – 2020 г. 80 000 000 лева (40 903 350 евро)</w:t>
      </w:r>
      <w:r w:rsidR="00FF6FF0" w:rsidRPr="00EA175D">
        <w:rPr>
          <w:bCs/>
          <w:color w:val="000000"/>
        </w:rPr>
        <w:t xml:space="preserve">. </w:t>
      </w:r>
      <w:r w:rsidR="00A0508B" w:rsidRPr="00EA175D">
        <w:rPr>
          <w:bCs/>
          <w:color w:val="000000"/>
        </w:rPr>
        <w:t xml:space="preserve">В последствие бюджетът на приема е изменен със заповед на ръководителя на УО на ПРСР 2014 – 2020 г., </w:t>
      </w:r>
      <w:r w:rsidR="00CB2973" w:rsidRPr="00EA175D">
        <w:rPr>
          <w:bCs/>
          <w:color w:val="000000"/>
        </w:rPr>
        <w:t xml:space="preserve">като по ПРСР 2014 – 2020 г. размерът му </w:t>
      </w:r>
      <w:r w:rsidR="004A60E8" w:rsidRPr="00EA175D">
        <w:rPr>
          <w:bCs/>
          <w:color w:val="000000"/>
        </w:rPr>
        <w:t xml:space="preserve">за изпълнение на проекти към СВОМР </w:t>
      </w:r>
      <w:r w:rsidR="00CB2973" w:rsidRPr="00EA175D">
        <w:rPr>
          <w:bCs/>
          <w:color w:val="000000"/>
        </w:rPr>
        <w:t xml:space="preserve">се увеличава на 69 774 487,90 лева (35 675 676 евро). </w:t>
      </w:r>
      <w:r w:rsidR="00FF6FF0" w:rsidRPr="00EA175D">
        <w:rPr>
          <w:bCs/>
          <w:color w:val="000000"/>
        </w:rPr>
        <w:t>Общият размер на средствата, налични по приема са 1</w:t>
      </w:r>
      <w:r w:rsidR="004A60E8" w:rsidRPr="00EA175D">
        <w:rPr>
          <w:bCs/>
          <w:color w:val="000000"/>
        </w:rPr>
        <w:t>93</w:t>
      </w:r>
      <w:r w:rsidR="00FF6FF0" w:rsidRPr="00EA175D">
        <w:rPr>
          <w:bCs/>
          <w:color w:val="000000"/>
        </w:rPr>
        <w:t xml:space="preserve"> </w:t>
      </w:r>
      <w:r w:rsidR="004A60E8" w:rsidRPr="00EA175D">
        <w:rPr>
          <w:bCs/>
          <w:color w:val="000000"/>
        </w:rPr>
        <w:t>172</w:t>
      </w:r>
      <w:r w:rsidR="00FF6FF0" w:rsidRPr="00EA175D">
        <w:rPr>
          <w:bCs/>
          <w:color w:val="000000"/>
        </w:rPr>
        <w:t xml:space="preserve"> </w:t>
      </w:r>
      <w:r w:rsidR="004A60E8" w:rsidRPr="00EA175D">
        <w:rPr>
          <w:bCs/>
          <w:color w:val="000000"/>
        </w:rPr>
        <w:t>854</w:t>
      </w:r>
      <w:r w:rsidR="00FF6FF0" w:rsidRPr="00EA175D">
        <w:rPr>
          <w:bCs/>
          <w:color w:val="000000"/>
        </w:rPr>
        <w:t xml:space="preserve"> евро.</w:t>
      </w:r>
    </w:p>
    <w:p w14:paraId="3A8152F6" w14:textId="77777777" w:rsidR="00EF24AC" w:rsidRPr="00EA175D" w:rsidRDefault="00EF24AC" w:rsidP="00EA175D">
      <w:pPr>
        <w:spacing w:line="360" w:lineRule="auto"/>
        <w:ind w:firstLine="567"/>
        <w:jc w:val="both"/>
      </w:pPr>
      <w:r w:rsidRPr="00EA175D">
        <w:t>Разпределението на заявените средства по приема по програми е представено в следващата таблица:</w:t>
      </w:r>
    </w:p>
    <w:tbl>
      <w:tblPr>
        <w:tblStyle w:val="aa"/>
        <w:tblW w:w="0" w:type="auto"/>
        <w:tblLook w:val="04A0" w:firstRow="1" w:lastRow="0" w:firstColumn="1" w:lastColumn="0" w:noHBand="0" w:noVBand="1"/>
      </w:tblPr>
      <w:tblGrid>
        <w:gridCol w:w="2802"/>
        <w:gridCol w:w="2409"/>
        <w:gridCol w:w="2127"/>
        <w:gridCol w:w="2091"/>
      </w:tblGrid>
      <w:tr w:rsidR="00EF24AC" w:rsidRPr="00EA175D" w14:paraId="48B64AD5" w14:textId="77777777" w:rsidTr="003C71CB">
        <w:tc>
          <w:tcPr>
            <w:tcW w:w="2802" w:type="dxa"/>
          </w:tcPr>
          <w:p w14:paraId="0E58846E" w14:textId="77777777" w:rsidR="00EF24AC" w:rsidRPr="00EA175D" w:rsidRDefault="00EF24AC" w:rsidP="00EA175D">
            <w:pPr>
              <w:spacing w:line="360" w:lineRule="auto"/>
              <w:jc w:val="both"/>
            </w:pPr>
            <w:r w:rsidRPr="00EA175D">
              <w:t>Финансираща програма</w:t>
            </w:r>
          </w:p>
        </w:tc>
        <w:tc>
          <w:tcPr>
            <w:tcW w:w="2409" w:type="dxa"/>
          </w:tcPr>
          <w:p w14:paraId="74DD3A5D" w14:textId="77777777" w:rsidR="00EF24AC" w:rsidRPr="00EA175D" w:rsidRDefault="00EF24AC" w:rsidP="00EA175D">
            <w:pPr>
              <w:spacing w:line="360" w:lineRule="auto"/>
              <w:jc w:val="both"/>
            </w:pPr>
            <w:r w:rsidRPr="00EA175D">
              <w:t>Разполагаем бюджет, евро</w:t>
            </w:r>
          </w:p>
        </w:tc>
        <w:tc>
          <w:tcPr>
            <w:tcW w:w="2127" w:type="dxa"/>
          </w:tcPr>
          <w:p w14:paraId="6614E9C9" w14:textId="77777777" w:rsidR="00EF24AC" w:rsidRPr="00EA175D" w:rsidRDefault="00EF24AC" w:rsidP="00EA175D">
            <w:pPr>
              <w:spacing w:line="360" w:lineRule="auto"/>
              <w:jc w:val="both"/>
            </w:pPr>
            <w:r w:rsidRPr="00EA175D">
              <w:t>Заявен бюджет, евро</w:t>
            </w:r>
          </w:p>
        </w:tc>
        <w:tc>
          <w:tcPr>
            <w:tcW w:w="2091" w:type="dxa"/>
          </w:tcPr>
          <w:p w14:paraId="4B59A25B" w14:textId="77777777" w:rsidR="00EF24AC" w:rsidRPr="00EA175D" w:rsidRDefault="00EF24AC" w:rsidP="00EA175D">
            <w:pPr>
              <w:spacing w:line="360" w:lineRule="auto"/>
              <w:jc w:val="both"/>
            </w:pPr>
            <w:r w:rsidRPr="00EA175D">
              <w:t xml:space="preserve">Съотношение </w:t>
            </w:r>
          </w:p>
        </w:tc>
      </w:tr>
      <w:tr w:rsidR="00EF24AC" w:rsidRPr="00EA175D" w14:paraId="03FF3C00" w14:textId="77777777" w:rsidTr="003C71CB">
        <w:trPr>
          <w:trHeight w:val="94"/>
        </w:trPr>
        <w:tc>
          <w:tcPr>
            <w:tcW w:w="2802" w:type="dxa"/>
          </w:tcPr>
          <w:p w14:paraId="1461BC0D" w14:textId="77777777" w:rsidR="00EF24AC" w:rsidRPr="00EA175D" w:rsidRDefault="00EF24AC" w:rsidP="00EA175D">
            <w:pPr>
              <w:spacing w:line="360" w:lineRule="auto"/>
              <w:jc w:val="both"/>
            </w:pPr>
            <w:r w:rsidRPr="00EA175D">
              <w:t>ПРСР 2014 – 2020 г.</w:t>
            </w:r>
          </w:p>
        </w:tc>
        <w:tc>
          <w:tcPr>
            <w:tcW w:w="2409" w:type="dxa"/>
          </w:tcPr>
          <w:p w14:paraId="0477FD11" w14:textId="77777777" w:rsidR="00EF24AC" w:rsidRPr="00EA175D" w:rsidRDefault="00DD2143" w:rsidP="00EA175D">
            <w:pPr>
              <w:spacing w:line="360" w:lineRule="auto"/>
              <w:jc w:val="both"/>
              <w:rPr>
                <w:lang w:val="en-GB"/>
              </w:rPr>
            </w:pPr>
            <w:r w:rsidRPr="00EA175D">
              <w:rPr>
                <w:lang w:val="en-GB"/>
              </w:rPr>
              <w:t>47 507 008</w:t>
            </w:r>
          </w:p>
        </w:tc>
        <w:tc>
          <w:tcPr>
            <w:tcW w:w="2127" w:type="dxa"/>
          </w:tcPr>
          <w:p w14:paraId="0A342D73" w14:textId="77777777" w:rsidR="00EF24AC" w:rsidRPr="00EA175D" w:rsidRDefault="000D1E34" w:rsidP="00EA175D">
            <w:pPr>
              <w:spacing w:line="360" w:lineRule="auto"/>
              <w:jc w:val="both"/>
              <w:rPr>
                <w:lang w:val="en-GB"/>
              </w:rPr>
            </w:pPr>
            <w:r w:rsidRPr="00EA175D">
              <w:t>131</w:t>
            </w:r>
            <w:r w:rsidRPr="00EA175D">
              <w:rPr>
                <w:lang w:val="en-GB"/>
              </w:rPr>
              <w:t xml:space="preserve"> </w:t>
            </w:r>
            <w:r w:rsidRPr="00EA175D">
              <w:t>453</w:t>
            </w:r>
            <w:r w:rsidRPr="00EA175D">
              <w:rPr>
                <w:lang w:val="en-GB"/>
              </w:rPr>
              <w:t xml:space="preserve"> </w:t>
            </w:r>
            <w:r w:rsidRPr="00EA175D">
              <w:t>854</w:t>
            </w:r>
          </w:p>
        </w:tc>
        <w:tc>
          <w:tcPr>
            <w:tcW w:w="2091" w:type="dxa"/>
          </w:tcPr>
          <w:p w14:paraId="0EC05811" w14:textId="77777777" w:rsidR="002C7D65" w:rsidRPr="00EA175D" w:rsidRDefault="00DD2143" w:rsidP="00EA175D">
            <w:pPr>
              <w:spacing w:line="360" w:lineRule="auto"/>
              <w:jc w:val="both"/>
            </w:pPr>
            <w:r w:rsidRPr="00EA175D">
              <w:rPr>
                <w:lang w:val="en-GB"/>
              </w:rPr>
              <w:t>276</w:t>
            </w:r>
            <w:r w:rsidR="002C7D65" w:rsidRPr="00EA175D">
              <w:t>,7</w:t>
            </w:r>
            <w:r w:rsidRPr="00EA175D">
              <w:rPr>
                <w:lang w:val="en-GB"/>
              </w:rPr>
              <w:t>0</w:t>
            </w:r>
            <w:r w:rsidR="002C7D65" w:rsidRPr="00EA175D">
              <w:t>%</w:t>
            </w:r>
          </w:p>
        </w:tc>
      </w:tr>
      <w:tr w:rsidR="00EF24AC" w:rsidRPr="00EA175D" w14:paraId="0D74B114" w14:textId="77777777" w:rsidTr="003C71CB">
        <w:tc>
          <w:tcPr>
            <w:tcW w:w="2802" w:type="dxa"/>
          </w:tcPr>
          <w:p w14:paraId="71AD8BD6" w14:textId="77777777" w:rsidR="00EF24AC" w:rsidRPr="00EA175D" w:rsidRDefault="00EF24AC" w:rsidP="00EA175D">
            <w:pPr>
              <w:spacing w:line="360" w:lineRule="auto"/>
              <w:jc w:val="both"/>
            </w:pPr>
            <w:r w:rsidRPr="00EA175D">
              <w:t>ОПИК 2014 – 2020 г.</w:t>
            </w:r>
          </w:p>
        </w:tc>
        <w:tc>
          <w:tcPr>
            <w:tcW w:w="2409" w:type="dxa"/>
          </w:tcPr>
          <w:p w14:paraId="29DA87A8" w14:textId="77777777" w:rsidR="00EF24AC" w:rsidRPr="00EA175D" w:rsidRDefault="00EF24AC" w:rsidP="00EA175D">
            <w:pPr>
              <w:spacing w:line="360" w:lineRule="auto"/>
              <w:jc w:val="both"/>
              <w:rPr>
                <w:lang w:val="en-GB"/>
              </w:rPr>
            </w:pPr>
            <w:r w:rsidRPr="00EA175D">
              <w:rPr>
                <w:lang w:val="en-GB"/>
              </w:rPr>
              <w:t>48 280 560</w:t>
            </w:r>
          </w:p>
        </w:tc>
        <w:tc>
          <w:tcPr>
            <w:tcW w:w="2127" w:type="dxa"/>
          </w:tcPr>
          <w:p w14:paraId="3F92F5B3" w14:textId="77777777" w:rsidR="00EF24AC" w:rsidRPr="00EA175D" w:rsidRDefault="000D1E34" w:rsidP="00EA175D">
            <w:pPr>
              <w:spacing w:line="360" w:lineRule="auto"/>
              <w:jc w:val="both"/>
            </w:pPr>
            <w:r w:rsidRPr="00EA175D">
              <w:t>30 507 119</w:t>
            </w:r>
          </w:p>
        </w:tc>
        <w:tc>
          <w:tcPr>
            <w:tcW w:w="2091" w:type="dxa"/>
          </w:tcPr>
          <w:p w14:paraId="03E89A50" w14:textId="77777777" w:rsidR="00EF24AC" w:rsidRPr="00EA175D" w:rsidRDefault="002C7D65" w:rsidP="00EA175D">
            <w:pPr>
              <w:spacing w:line="360" w:lineRule="auto"/>
              <w:jc w:val="both"/>
            </w:pPr>
            <w:r w:rsidRPr="00EA175D">
              <w:t>63,19%</w:t>
            </w:r>
          </w:p>
        </w:tc>
      </w:tr>
      <w:tr w:rsidR="00EF24AC" w:rsidRPr="00EA175D" w14:paraId="5AFE7A9C" w14:textId="77777777" w:rsidTr="003C71CB">
        <w:tc>
          <w:tcPr>
            <w:tcW w:w="2802" w:type="dxa"/>
          </w:tcPr>
          <w:p w14:paraId="50BA00B7" w14:textId="77777777" w:rsidR="00EF24AC" w:rsidRPr="00EA175D" w:rsidRDefault="00EF24AC" w:rsidP="00EA175D">
            <w:pPr>
              <w:spacing w:line="360" w:lineRule="auto"/>
              <w:jc w:val="both"/>
            </w:pPr>
            <w:r w:rsidRPr="00EA175D">
              <w:t>ОПРЧР 2014 – 2020 г.</w:t>
            </w:r>
          </w:p>
        </w:tc>
        <w:tc>
          <w:tcPr>
            <w:tcW w:w="2409" w:type="dxa"/>
          </w:tcPr>
          <w:p w14:paraId="0ABA4C05" w14:textId="77777777" w:rsidR="00EF24AC" w:rsidRPr="00EA175D" w:rsidRDefault="00EF24AC" w:rsidP="00EA175D">
            <w:pPr>
              <w:spacing w:line="360" w:lineRule="auto"/>
              <w:jc w:val="both"/>
              <w:rPr>
                <w:lang w:val="en-GB"/>
              </w:rPr>
            </w:pPr>
            <w:r w:rsidRPr="00EA175D">
              <w:rPr>
                <w:lang w:val="en-GB"/>
              </w:rPr>
              <w:t>38 632 334</w:t>
            </w:r>
          </w:p>
        </w:tc>
        <w:tc>
          <w:tcPr>
            <w:tcW w:w="2127" w:type="dxa"/>
          </w:tcPr>
          <w:p w14:paraId="2802FFA2" w14:textId="77777777" w:rsidR="00EF24AC" w:rsidRPr="00EA175D" w:rsidRDefault="000D1E34" w:rsidP="00EA175D">
            <w:pPr>
              <w:spacing w:line="360" w:lineRule="auto"/>
              <w:jc w:val="both"/>
            </w:pPr>
            <w:r w:rsidRPr="00EA175D">
              <w:t>30 137 250</w:t>
            </w:r>
          </w:p>
        </w:tc>
        <w:tc>
          <w:tcPr>
            <w:tcW w:w="2091" w:type="dxa"/>
          </w:tcPr>
          <w:p w14:paraId="1615BCF3" w14:textId="77777777" w:rsidR="00EF24AC" w:rsidRPr="00EA175D" w:rsidRDefault="002C7D65" w:rsidP="00EA175D">
            <w:pPr>
              <w:spacing w:line="360" w:lineRule="auto"/>
              <w:jc w:val="both"/>
            </w:pPr>
            <w:r w:rsidRPr="00EA175D">
              <w:t>78,01%</w:t>
            </w:r>
          </w:p>
        </w:tc>
      </w:tr>
      <w:tr w:rsidR="00EF24AC" w:rsidRPr="00EA175D" w14:paraId="51293A8F" w14:textId="77777777" w:rsidTr="003C71CB">
        <w:tc>
          <w:tcPr>
            <w:tcW w:w="2802" w:type="dxa"/>
          </w:tcPr>
          <w:p w14:paraId="6FB2A5AF" w14:textId="77777777" w:rsidR="00EF24AC" w:rsidRPr="00EA175D" w:rsidRDefault="00EF24AC" w:rsidP="00EA175D">
            <w:pPr>
              <w:spacing w:line="360" w:lineRule="auto"/>
              <w:jc w:val="both"/>
            </w:pPr>
            <w:r w:rsidRPr="00EA175D">
              <w:t>ОПОС 2014 – 2020 г.</w:t>
            </w:r>
          </w:p>
        </w:tc>
        <w:tc>
          <w:tcPr>
            <w:tcW w:w="2409" w:type="dxa"/>
          </w:tcPr>
          <w:p w14:paraId="338B23CF" w14:textId="77777777" w:rsidR="00EF24AC" w:rsidRPr="00EA175D" w:rsidRDefault="00EF24AC" w:rsidP="00EA175D">
            <w:pPr>
              <w:spacing w:line="360" w:lineRule="auto"/>
              <w:jc w:val="both"/>
              <w:rPr>
                <w:lang w:val="en-GB"/>
              </w:rPr>
            </w:pPr>
            <w:r w:rsidRPr="00EA175D">
              <w:rPr>
                <w:lang w:val="en-GB"/>
              </w:rPr>
              <w:t>17 849 603</w:t>
            </w:r>
          </w:p>
        </w:tc>
        <w:tc>
          <w:tcPr>
            <w:tcW w:w="2127" w:type="dxa"/>
          </w:tcPr>
          <w:p w14:paraId="7BE99223" w14:textId="77777777" w:rsidR="00EF24AC" w:rsidRPr="00EA175D" w:rsidRDefault="000D1E34" w:rsidP="00EA175D">
            <w:pPr>
              <w:spacing w:line="360" w:lineRule="auto"/>
              <w:jc w:val="both"/>
            </w:pPr>
            <w:r w:rsidRPr="00EA175D">
              <w:t>9 753 599</w:t>
            </w:r>
          </w:p>
        </w:tc>
        <w:tc>
          <w:tcPr>
            <w:tcW w:w="2091" w:type="dxa"/>
          </w:tcPr>
          <w:p w14:paraId="4A985607" w14:textId="77777777" w:rsidR="00EF24AC" w:rsidRPr="00EA175D" w:rsidRDefault="002C7D65" w:rsidP="00EA175D">
            <w:pPr>
              <w:spacing w:line="360" w:lineRule="auto"/>
              <w:jc w:val="both"/>
            </w:pPr>
            <w:r w:rsidRPr="00EA175D">
              <w:t>54,64%</w:t>
            </w:r>
          </w:p>
        </w:tc>
      </w:tr>
      <w:tr w:rsidR="000D1E34" w:rsidRPr="00EA175D" w14:paraId="0A03F81E" w14:textId="77777777" w:rsidTr="003C71CB">
        <w:tc>
          <w:tcPr>
            <w:tcW w:w="2802" w:type="dxa"/>
          </w:tcPr>
          <w:p w14:paraId="35B86EFE" w14:textId="77777777" w:rsidR="000D1E34" w:rsidRPr="00EA175D" w:rsidRDefault="000D1E34" w:rsidP="00EA175D">
            <w:pPr>
              <w:spacing w:line="360" w:lineRule="auto"/>
              <w:jc w:val="both"/>
            </w:pPr>
            <w:r w:rsidRPr="00EA175D">
              <w:t>ОПНОИР 2014 – 2020 г.</w:t>
            </w:r>
          </w:p>
        </w:tc>
        <w:tc>
          <w:tcPr>
            <w:tcW w:w="2409" w:type="dxa"/>
          </w:tcPr>
          <w:p w14:paraId="7F86E774" w14:textId="77777777" w:rsidR="000D1E34" w:rsidRPr="00EA175D" w:rsidRDefault="000D1E34" w:rsidP="00EA175D">
            <w:pPr>
              <w:spacing w:line="360" w:lineRule="auto"/>
              <w:jc w:val="both"/>
              <w:rPr>
                <w:bCs/>
                <w:color w:val="000000"/>
                <w:lang w:val="en-GB"/>
              </w:rPr>
            </w:pPr>
            <w:r w:rsidRPr="00EA175D">
              <w:rPr>
                <w:bCs/>
                <w:color w:val="000000"/>
              </w:rPr>
              <w:t>40 903 350</w:t>
            </w:r>
          </w:p>
        </w:tc>
        <w:tc>
          <w:tcPr>
            <w:tcW w:w="2127" w:type="dxa"/>
          </w:tcPr>
          <w:p w14:paraId="756A3D88" w14:textId="77777777" w:rsidR="000D1E34" w:rsidRPr="00EA175D" w:rsidRDefault="000D1E34" w:rsidP="00EA175D">
            <w:pPr>
              <w:spacing w:line="360" w:lineRule="auto"/>
              <w:jc w:val="both"/>
            </w:pPr>
            <w:r w:rsidRPr="00EA175D">
              <w:rPr>
                <w:lang w:val="en-GB"/>
              </w:rPr>
              <w:t>9</w:t>
            </w:r>
            <w:r w:rsidRPr="00EA175D">
              <w:t xml:space="preserve"> </w:t>
            </w:r>
            <w:r w:rsidRPr="00EA175D">
              <w:rPr>
                <w:lang w:val="en-GB"/>
              </w:rPr>
              <w:t>996</w:t>
            </w:r>
            <w:r w:rsidRPr="00EA175D">
              <w:t xml:space="preserve"> </w:t>
            </w:r>
            <w:r w:rsidRPr="00EA175D">
              <w:rPr>
                <w:lang w:val="en-GB"/>
              </w:rPr>
              <w:t>76</w:t>
            </w:r>
            <w:r w:rsidR="00B4620B" w:rsidRPr="00EA175D">
              <w:t>3</w:t>
            </w:r>
          </w:p>
        </w:tc>
        <w:tc>
          <w:tcPr>
            <w:tcW w:w="2091" w:type="dxa"/>
          </w:tcPr>
          <w:p w14:paraId="07C775EF" w14:textId="77777777" w:rsidR="000D1E34" w:rsidRPr="00EA175D" w:rsidRDefault="002C7D65" w:rsidP="00EA175D">
            <w:pPr>
              <w:spacing w:line="360" w:lineRule="auto"/>
              <w:jc w:val="both"/>
            </w:pPr>
            <w:r w:rsidRPr="00EA175D">
              <w:t>24,44%</w:t>
            </w:r>
          </w:p>
        </w:tc>
      </w:tr>
      <w:tr w:rsidR="00EF24AC" w:rsidRPr="00EA175D" w14:paraId="780169C1" w14:textId="77777777" w:rsidTr="003C71CB">
        <w:tc>
          <w:tcPr>
            <w:tcW w:w="2802" w:type="dxa"/>
          </w:tcPr>
          <w:p w14:paraId="55524368" w14:textId="77777777" w:rsidR="00EF24AC" w:rsidRPr="00EA175D" w:rsidRDefault="002C7D65" w:rsidP="00EA175D">
            <w:pPr>
              <w:spacing w:line="360" w:lineRule="auto"/>
              <w:jc w:val="both"/>
              <w:rPr>
                <w:lang w:val="en-GB"/>
              </w:rPr>
            </w:pPr>
            <w:r w:rsidRPr="00EA175D">
              <w:t>Общо</w:t>
            </w:r>
            <w:r w:rsidRPr="00EA175D">
              <w:rPr>
                <w:lang w:val="en-GB"/>
              </w:rPr>
              <w:t>*</w:t>
            </w:r>
          </w:p>
        </w:tc>
        <w:tc>
          <w:tcPr>
            <w:tcW w:w="2409" w:type="dxa"/>
          </w:tcPr>
          <w:p w14:paraId="4FF0C293" w14:textId="77777777" w:rsidR="00EF24AC" w:rsidRPr="00EA175D" w:rsidRDefault="00EF24AC" w:rsidP="00EA175D">
            <w:pPr>
              <w:spacing w:line="360" w:lineRule="auto"/>
              <w:jc w:val="both"/>
              <w:rPr>
                <w:bCs/>
                <w:color w:val="000000"/>
                <w:lang w:val="en-GB"/>
              </w:rPr>
            </w:pPr>
            <w:r w:rsidRPr="00EA175D">
              <w:rPr>
                <w:bCs/>
                <w:color w:val="000000"/>
                <w:lang w:val="en-GB"/>
              </w:rPr>
              <w:t>1</w:t>
            </w:r>
            <w:r w:rsidR="00DD2143" w:rsidRPr="00EA175D">
              <w:rPr>
                <w:bCs/>
                <w:color w:val="000000"/>
                <w:lang w:val="en-GB"/>
              </w:rPr>
              <w:t>93</w:t>
            </w:r>
            <w:r w:rsidRPr="00EA175D">
              <w:rPr>
                <w:bCs/>
                <w:color w:val="000000"/>
                <w:lang w:val="en-GB"/>
              </w:rPr>
              <w:t xml:space="preserve"> </w:t>
            </w:r>
            <w:r w:rsidR="00DD2143" w:rsidRPr="00EA175D">
              <w:rPr>
                <w:bCs/>
                <w:color w:val="000000"/>
                <w:lang w:val="en-GB"/>
              </w:rPr>
              <w:t>172</w:t>
            </w:r>
            <w:r w:rsidRPr="00EA175D">
              <w:rPr>
                <w:bCs/>
                <w:color w:val="000000"/>
                <w:lang w:val="en-GB"/>
              </w:rPr>
              <w:t xml:space="preserve"> </w:t>
            </w:r>
            <w:r w:rsidR="00DD2143" w:rsidRPr="00EA175D">
              <w:rPr>
                <w:bCs/>
                <w:color w:val="000000"/>
                <w:lang w:val="en-GB"/>
              </w:rPr>
              <w:t>854</w:t>
            </w:r>
          </w:p>
        </w:tc>
        <w:tc>
          <w:tcPr>
            <w:tcW w:w="2127" w:type="dxa"/>
          </w:tcPr>
          <w:p w14:paraId="62655A6A" w14:textId="77777777" w:rsidR="00EF24AC" w:rsidRPr="00EA175D" w:rsidRDefault="00B4620B" w:rsidP="00EA175D">
            <w:pPr>
              <w:spacing w:line="360" w:lineRule="auto"/>
              <w:jc w:val="both"/>
            </w:pPr>
            <w:r w:rsidRPr="00EA175D">
              <w:rPr>
                <w:lang w:val="en-GB"/>
              </w:rPr>
              <w:t>211</w:t>
            </w:r>
            <w:r w:rsidRPr="00EA175D">
              <w:t xml:space="preserve"> </w:t>
            </w:r>
            <w:r w:rsidRPr="00EA175D">
              <w:rPr>
                <w:lang w:val="en-GB"/>
              </w:rPr>
              <w:t>848</w:t>
            </w:r>
            <w:r w:rsidRPr="00EA175D">
              <w:t xml:space="preserve"> </w:t>
            </w:r>
            <w:r w:rsidRPr="00EA175D">
              <w:rPr>
                <w:lang w:val="en-GB"/>
              </w:rPr>
              <w:t>585</w:t>
            </w:r>
          </w:p>
        </w:tc>
        <w:tc>
          <w:tcPr>
            <w:tcW w:w="2091" w:type="dxa"/>
          </w:tcPr>
          <w:p w14:paraId="654A8C9E" w14:textId="77777777" w:rsidR="00EF24AC" w:rsidRPr="00EA175D" w:rsidRDefault="002C7D65" w:rsidP="00EA175D">
            <w:pPr>
              <w:spacing w:line="360" w:lineRule="auto"/>
              <w:jc w:val="both"/>
            </w:pPr>
            <w:r w:rsidRPr="00EA175D">
              <w:t>1</w:t>
            </w:r>
            <w:r w:rsidR="00DD2143" w:rsidRPr="00EA175D">
              <w:rPr>
                <w:lang w:val="en-GB"/>
              </w:rPr>
              <w:t>09</w:t>
            </w:r>
            <w:r w:rsidRPr="00EA175D">
              <w:t>,</w:t>
            </w:r>
            <w:r w:rsidR="00DD2143" w:rsidRPr="00EA175D">
              <w:rPr>
                <w:lang w:val="en-GB"/>
              </w:rPr>
              <w:t>67</w:t>
            </w:r>
            <w:r w:rsidRPr="00EA175D">
              <w:t>%</w:t>
            </w:r>
          </w:p>
        </w:tc>
      </w:tr>
    </w:tbl>
    <w:p w14:paraId="69430194" w14:textId="77777777" w:rsidR="00EF24AC" w:rsidRPr="00F77584" w:rsidRDefault="002C7D65" w:rsidP="00EA175D">
      <w:pPr>
        <w:spacing w:line="360" w:lineRule="auto"/>
        <w:ind w:firstLine="567"/>
        <w:jc w:val="both"/>
        <w:rPr>
          <w:bCs/>
          <w:color w:val="000000"/>
          <w:lang w:val="ru-RU"/>
        </w:rPr>
      </w:pPr>
      <w:r w:rsidRPr="00F77584">
        <w:rPr>
          <w:bCs/>
          <w:color w:val="000000"/>
          <w:u w:val="single"/>
          <w:lang w:val="ru-RU"/>
        </w:rPr>
        <w:t>*</w:t>
      </w:r>
      <w:r w:rsidRPr="00EA175D">
        <w:rPr>
          <w:bCs/>
          <w:color w:val="000000"/>
          <w:u w:val="single"/>
        </w:rPr>
        <w:t xml:space="preserve">Забележка – </w:t>
      </w:r>
      <w:r w:rsidRPr="00EA175D">
        <w:rPr>
          <w:u w:val="single"/>
        </w:rPr>
        <w:t>общата стойност е взета като абсолютна стойност, без да отчита отделните фондове.</w:t>
      </w:r>
    </w:p>
    <w:p w14:paraId="4AA07D55" w14:textId="77777777" w:rsidR="00677CFA" w:rsidRPr="00EA175D" w:rsidRDefault="00FF6FF0" w:rsidP="00EA175D">
      <w:pPr>
        <w:spacing w:line="360" w:lineRule="auto"/>
        <w:ind w:firstLine="567"/>
        <w:jc w:val="both"/>
      </w:pPr>
      <w:r w:rsidRPr="00EA175D">
        <w:lastRenderedPageBreak/>
        <w:t xml:space="preserve"> </w:t>
      </w:r>
    </w:p>
    <w:p w14:paraId="09F4F54E" w14:textId="77777777" w:rsidR="005537A9" w:rsidRPr="00F77584" w:rsidRDefault="00677CFA" w:rsidP="00EA175D">
      <w:pPr>
        <w:spacing w:line="360" w:lineRule="auto"/>
        <w:ind w:firstLine="567"/>
        <w:jc w:val="both"/>
        <w:rPr>
          <w:lang w:val="ru-RU"/>
        </w:rPr>
      </w:pPr>
      <w:r w:rsidRPr="00EA175D">
        <w:t>Графика. МИГ, одобрени по първи прием и МИГ, подали заявления по втори прием по подмярка 19.2.</w:t>
      </w:r>
    </w:p>
    <w:p w14:paraId="1573797F" w14:textId="77777777" w:rsidR="005537A9" w:rsidRPr="00EA175D" w:rsidRDefault="00677CFA" w:rsidP="00EA175D">
      <w:pPr>
        <w:spacing w:line="360" w:lineRule="auto"/>
        <w:ind w:firstLine="567"/>
        <w:jc w:val="both"/>
      </w:pPr>
      <w:r w:rsidRPr="00EA175D">
        <w:rPr>
          <w:lang w:val="it-IT" w:eastAsia="it-IT"/>
        </w:rPr>
        <w:drawing>
          <wp:inline distT="0" distB="0" distL="0" distR="0" wp14:anchorId="18A84AE5" wp14:editId="0B4DE938">
            <wp:extent cx="5532642" cy="3916853"/>
            <wp:effectExtent l="19050" t="19050" r="11430" b="26670"/>
            <wp:docPr id="22" name="Picture 22" descr="D:\LEADER\2014-2020\Implementation CLLD\Приеми\Approved LAGs 1 call+candidates 2 c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LEADER\2014-2020\Implementation CLLD\Приеми\Approved LAGs 1 call+candidates 2 call.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38234" cy="3920812"/>
                    </a:xfrm>
                    <a:prstGeom prst="rect">
                      <a:avLst/>
                    </a:prstGeom>
                    <a:noFill/>
                    <a:ln>
                      <a:solidFill>
                        <a:schemeClr val="tx1"/>
                      </a:solidFill>
                    </a:ln>
                  </pic:spPr>
                </pic:pic>
              </a:graphicData>
            </a:graphic>
          </wp:inline>
        </w:drawing>
      </w:r>
    </w:p>
    <w:p w14:paraId="0A08AD8B" w14:textId="77777777" w:rsidR="009C68BA" w:rsidRPr="00EA175D" w:rsidRDefault="009C68BA" w:rsidP="00EA175D">
      <w:pPr>
        <w:spacing w:line="360" w:lineRule="auto"/>
        <w:jc w:val="both"/>
        <w:rPr>
          <w:lang w:val="en-GB"/>
        </w:rPr>
      </w:pPr>
    </w:p>
    <w:p w14:paraId="09F66E03" w14:textId="77777777" w:rsidR="00BB3CA9" w:rsidRPr="00F77584" w:rsidRDefault="005570B9" w:rsidP="00EA175D">
      <w:pPr>
        <w:spacing w:line="360" w:lineRule="auto"/>
        <w:ind w:firstLine="567"/>
        <w:jc w:val="both"/>
        <w:rPr>
          <w:lang w:val="ru-RU"/>
        </w:rPr>
      </w:pPr>
      <w:r w:rsidRPr="00EA175D">
        <w:t>Разпределението на фондовете в различните стратегии е представено на следващите графики, които показват включването на различните фондове и програми.</w:t>
      </w:r>
    </w:p>
    <w:p w14:paraId="4DE72BA0" w14:textId="38799758" w:rsidR="00BB3CA9" w:rsidRPr="00F77584" w:rsidRDefault="00BB3CA9" w:rsidP="00EA175D">
      <w:pPr>
        <w:spacing w:line="360" w:lineRule="auto"/>
        <w:ind w:firstLine="567"/>
        <w:jc w:val="both"/>
        <w:rPr>
          <w:lang w:val="ru-RU"/>
        </w:rPr>
      </w:pPr>
      <w:r w:rsidRPr="00EA175D">
        <w:t>Графика. Разпределение на финансиращите програми в зая</w:t>
      </w:r>
      <w:r w:rsidR="001761A1">
        <w:t>в</w:t>
      </w:r>
      <w:r w:rsidRPr="00EA175D">
        <w:t xml:space="preserve">ленията, получени по </w:t>
      </w:r>
      <w:r w:rsidR="000B5C19" w:rsidRPr="00EA175D">
        <w:t>втори</w:t>
      </w:r>
      <w:r w:rsidRPr="00EA175D">
        <w:t xml:space="preserve"> прием по подмярка 19.2, по брой стратегии, в които са включени.</w:t>
      </w:r>
    </w:p>
    <w:p w14:paraId="38817E5B" w14:textId="77777777" w:rsidR="00BB3CA9" w:rsidRPr="00EA175D" w:rsidRDefault="00D64A11" w:rsidP="00EA175D">
      <w:pPr>
        <w:spacing w:line="360" w:lineRule="auto"/>
        <w:ind w:firstLine="567"/>
        <w:jc w:val="both"/>
        <w:rPr>
          <w:lang w:val="en-GB"/>
        </w:rPr>
      </w:pPr>
      <w:r w:rsidRPr="00EA175D">
        <w:rPr>
          <w:lang w:val="it-IT" w:eastAsia="it-IT"/>
        </w:rPr>
        <w:lastRenderedPageBreak/>
        <w:drawing>
          <wp:inline distT="0" distB="0" distL="0" distR="0" wp14:anchorId="46F8BB65" wp14:editId="4F39F86B">
            <wp:extent cx="4572000" cy="2743200"/>
            <wp:effectExtent l="0" t="0" r="19050" b="1905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5AD92BBE" w14:textId="77777777" w:rsidR="00C942A6" w:rsidRPr="00EA175D" w:rsidRDefault="00C942A6" w:rsidP="00EA175D">
      <w:pPr>
        <w:spacing w:line="360" w:lineRule="auto"/>
        <w:ind w:firstLine="567"/>
        <w:jc w:val="both"/>
        <w:rPr>
          <w:lang w:val="en-GB"/>
        </w:rPr>
      </w:pPr>
    </w:p>
    <w:p w14:paraId="58700B30" w14:textId="77777777" w:rsidR="00C942A6" w:rsidRPr="00EA175D" w:rsidRDefault="005570B9" w:rsidP="00EA175D">
      <w:pPr>
        <w:spacing w:line="360" w:lineRule="auto"/>
        <w:ind w:firstLine="567"/>
        <w:jc w:val="both"/>
      </w:pPr>
      <w:r w:rsidRPr="00EA175D">
        <w:t xml:space="preserve">Графика. Комбинации от финансиращи програми, включени в заявленията, подадени по </w:t>
      </w:r>
      <w:r w:rsidR="000B5C19" w:rsidRPr="00EA175D">
        <w:t>втори</w:t>
      </w:r>
      <w:r w:rsidRPr="00EA175D">
        <w:t xml:space="preserve"> прием на стратегии по подмярка 19.2.</w:t>
      </w:r>
    </w:p>
    <w:p w14:paraId="5D6A113E" w14:textId="77777777" w:rsidR="00EC406F" w:rsidRPr="00EA175D" w:rsidRDefault="00EC406F" w:rsidP="00EA175D">
      <w:pPr>
        <w:spacing w:line="360" w:lineRule="auto"/>
        <w:ind w:firstLine="567"/>
        <w:jc w:val="both"/>
        <w:rPr>
          <w:lang w:val="en-GB"/>
        </w:rPr>
      </w:pPr>
      <w:r w:rsidRPr="00EA175D">
        <w:rPr>
          <w:lang w:val="it-IT" w:eastAsia="it-IT"/>
        </w:rPr>
        <w:drawing>
          <wp:inline distT="0" distB="0" distL="0" distR="0" wp14:anchorId="7DFBFBD5" wp14:editId="46F907D9">
            <wp:extent cx="4572000" cy="2743200"/>
            <wp:effectExtent l="0" t="0" r="19050" b="19050"/>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9246B70" w14:textId="77777777" w:rsidR="00C942A6" w:rsidRPr="00EA175D" w:rsidRDefault="00C942A6" w:rsidP="00EA175D">
      <w:pPr>
        <w:spacing w:line="360" w:lineRule="auto"/>
        <w:ind w:firstLine="567"/>
        <w:jc w:val="both"/>
        <w:rPr>
          <w:lang w:val="en-GB"/>
        </w:rPr>
      </w:pPr>
    </w:p>
    <w:p w14:paraId="153A8174" w14:textId="77777777" w:rsidR="00846A11" w:rsidRPr="00EA175D" w:rsidRDefault="00FD5FF0" w:rsidP="00EA175D">
      <w:pPr>
        <w:spacing w:line="360" w:lineRule="auto"/>
        <w:ind w:firstLine="567"/>
        <w:jc w:val="both"/>
        <w:rPr>
          <w:i/>
        </w:rPr>
      </w:pPr>
      <w:r w:rsidRPr="00EA175D">
        <w:rPr>
          <w:i/>
        </w:rPr>
        <w:t xml:space="preserve">От представената до тук информация може да се заключи, че вторият прием на заявления </w:t>
      </w:r>
      <w:r w:rsidR="00846A11" w:rsidRPr="00EA175D">
        <w:rPr>
          <w:i/>
        </w:rPr>
        <w:t xml:space="preserve">е предизвика по-голям интерес от първия, като по него заявления за подали 70 кандидата, със 17 повече от подалите по първи прием. Следва да се отбележи, че на </w:t>
      </w:r>
      <w:r w:rsidR="00846A11" w:rsidRPr="00EA175D">
        <w:rPr>
          <w:i/>
        </w:rPr>
        <w:lastRenderedPageBreak/>
        <w:t xml:space="preserve">втори прием заявления са подали и отпадналите от първи прием кандидати, които като се прибавят и към новите участници броят им става значителен. Също така прави впечатление, че кандидатите с многофондови стратегии са значително по-голям дял от тези по първия прием. Така с еднофондови стратегии са били само 19 кандидата (27%), докато останалите 73% са с многофондови стратегии. </w:t>
      </w:r>
      <w:r w:rsidR="00BB7C3C" w:rsidRPr="00EA175D">
        <w:rPr>
          <w:i/>
        </w:rPr>
        <w:t>Висок е делът на кандидатите със стратегии, предвиждащи финансиране от повече от три програми 42 броя (60%).</w:t>
      </w:r>
      <w:r w:rsidR="00846A11" w:rsidRPr="00EA175D">
        <w:rPr>
          <w:i/>
        </w:rPr>
        <w:t xml:space="preserve"> Регистрираният интерес е голям, докато разполагаемият бюджет по ПРСР 2014 – 2020 г. е по-малък от този на първия прием. По този начин заявленията надхвърлят повече от 3 пъти разполагаемия по ПРСР 2014 – 2020 г. бюджет, което се оказва лимитиращо за одобрението на повече кандидати. По другите фондове също се забелязва повишен интерес, но въпреки това, както и по първия прием техните бюджети остават недоговорени напълно.</w:t>
      </w:r>
      <w:r w:rsidR="00E96FD6" w:rsidRPr="00EA175D">
        <w:rPr>
          <w:i/>
        </w:rPr>
        <w:t xml:space="preserve"> Може да се заключи, че кандидатите разпознават многофондовото финансиране като много добра възможност за развитие на своите територии. За тази промяна голямо значение има и включването на ПРСР 2014 – 2020 г. в ИСУН, както и изготвената и работеща на практика координационна структура на многофондовото прилагане на подхода ВОМР, залегнала в ПМС № 161.</w:t>
      </w:r>
    </w:p>
    <w:p w14:paraId="008509D9" w14:textId="77777777" w:rsidR="003D717A" w:rsidRPr="00EA175D" w:rsidRDefault="003D717A" w:rsidP="00EA175D">
      <w:pPr>
        <w:spacing w:line="360" w:lineRule="auto"/>
        <w:ind w:firstLine="567"/>
        <w:jc w:val="both"/>
      </w:pPr>
      <w:r w:rsidRPr="00EA175D">
        <w:t>По втория прием на заявления по подмярка 19.2 са подадени 70 стратегии за ВОМР от МИГ, включващи 122 общини с територия 52 358 кв. км. и население 1 509 106 жители.</w:t>
      </w:r>
    </w:p>
    <w:p w14:paraId="0AD780FC" w14:textId="77777777" w:rsidR="003D717A" w:rsidRPr="00EA175D" w:rsidRDefault="005C5C1A" w:rsidP="00EA175D">
      <w:pPr>
        <w:spacing w:line="360" w:lineRule="auto"/>
        <w:ind w:firstLine="567"/>
        <w:jc w:val="both"/>
      </w:pPr>
      <w:r w:rsidRPr="00EA175D">
        <w:t xml:space="preserve">По </w:t>
      </w:r>
      <w:r w:rsidR="00352AB8" w:rsidRPr="00EA175D">
        <w:t>втория</w:t>
      </w:r>
      <w:r w:rsidRPr="00EA175D">
        <w:t xml:space="preserve"> прием на заявления по подмярка 19.2 са одобрени </w:t>
      </w:r>
      <w:r w:rsidR="00352AB8" w:rsidRPr="00EA175D">
        <w:t>25</w:t>
      </w:r>
      <w:r w:rsidRPr="00EA175D">
        <w:t xml:space="preserve"> стратегии за ВОМР на МИГ. </w:t>
      </w:r>
      <w:r w:rsidR="00352AB8" w:rsidRPr="00EA175D">
        <w:t>В</w:t>
      </w:r>
      <w:r w:rsidRPr="00EA175D">
        <w:t xml:space="preserve"> одобрените местни инициативни групи се включват </w:t>
      </w:r>
      <w:r w:rsidR="00352AB8" w:rsidRPr="00EA175D">
        <w:t>44</w:t>
      </w:r>
      <w:r w:rsidRPr="00EA175D">
        <w:t xml:space="preserve"> общини с територия </w:t>
      </w:r>
      <w:r w:rsidR="00352AB8" w:rsidRPr="00EA175D">
        <w:t>22</w:t>
      </w:r>
      <w:r w:rsidRPr="00EA175D">
        <w:t xml:space="preserve"> </w:t>
      </w:r>
      <w:r w:rsidR="00352AB8" w:rsidRPr="00EA175D">
        <w:t>203</w:t>
      </w:r>
      <w:r w:rsidRPr="00EA175D">
        <w:t xml:space="preserve">  кв. км. и население </w:t>
      </w:r>
      <w:r w:rsidR="00352AB8" w:rsidRPr="00EA175D">
        <w:t>619 026</w:t>
      </w:r>
      <w:r w:rsidRPr="00EA175D">
        <w:t xml:space="preserve"> жители. </w:t>
      </w:r>
      <w:r w:rsidR="003D717A" w:rsidRPr="00EA175D">
        <w:t>Нивата на одобрение по втория прием са показани на следващата графика.</w:t>
      </w:r>
    </w:p>
    <w:p w14:paraId="087BEB0A" w14:textId="77777777" w:rsidR="003D717A" w:rsidRPr="00EA175D" w:rsidRDefault="003D717A" w:rsidP="00EA175D">
      <w:pPr>
        <w:spacing w:line="360" w:lineRule="auto"/>
        <w:ind w:firstLine="567"/>
        <w:jc w:val="both"/>
      </w:pPr>
      <w:r w:rsidRPr="00EA175D">
        <w:t>Графика. Дял на одобрените общини, територии и население по втория прием на стратегии за ВОМР по подмярка 19.2.</w:t>
      </w:r>
    </w:p>
    <w:p w14:paraId="14F4930C" w14:textId="77777777" w:rsidR="003D717A" w:rsidRPr="00EA175D" w:rsidRDefault="00CC39B5" w:rsidP="00EA175D">
      <w:pPr>
        <w:spacing w:line="360" w:lineRule="auto"/>
        <w:ind w:firstLine="567"/>
        <w:jc w:val="both"/>
        <w:rPr>
          <w:lang w:val="en-GB"/>
        </w:rPr>
      </w:pPr>
      <w:r w:rsidRPr="00EA175D">
        <w:rPr>
          <w:lang w:val="it-IT" w:eastAsia="it-IT"/>
        </w:rPr>
        <w:lastRenderedPageBreak/>
        <mc:AlternateContent>
          <mc:Choice Requires="wps">
            <w:drawing>
              <wp:anchor distT="0" distB="0" distL="114300" distR="114300" simplePos="0" relativeHeight="251665408" behindDoc="0" locked="0" layoutInCell="1" allowOverlap="1" wp14:anchorId="5AAEF835" wp14:editId="0574E412">
                <wp:simplePos x="0" y="0"/>
                <wp:positionH relativeFrom="column">
                  <wp:posOffset>3998003</wp:posOffset>
                </wp:positionH>
                <wp:positionV relativeFrom="paragraph">
                  <wp:posOffset>304340</wp:posOffset>
                </wp:positionV>
                <wp:extent cx="599090" cy="228600"/>
                <wp:effectExtent l="0" t="0" r="0" b="0"/>
                <wp:wrapNone/>
                <wp:docPr id="33" name="Text Box 1"/>
                <wp:cNvGraphicFramePr/>
                <a:graphic xmlns:a="http://schemas.openxmlformats.org/drawingml/2006/main">
                  <a:graphicData uri="http://schemas.microsoft.com/office/word/2010/wordprocessingShape">
                    <wps:wsp>
                      <wps:cNvSpPr txBox="1"/>
                      <wps:spPr>
                        <a:xfrm>
                          <a:off x="0" y="0"/>
                          <a:ext cx="599090" cy="228600"/>
                        </a:xfrm>
                        <a:prstGeom prst="rect">
                          <a:avLst/>
                        </a:prstGeom>
                      </wps:spPr>
                      <wps:txbx>
                        <w:txbxContent>
                          <w:p w14:paraId="409D32F3" w14:textId="77777777" w:rsidR="006C23D3" w:rsidRDefault="006C23D3" w:rsidP="00CC39B5">
                            <w:pPr>
                              <w:pStyle w:val="ae"/>
                              <w:spacing w:before="0" w:beforeAutospacing="0" w:after="0" w:afterAutospacing="0"/>
                            </w:pPr>
                            <w:r>
                              <w:rPr>
                                <w:rFonts w:ascii="Calibri" w:eastAsia="+mn-ea" w:hAnsi="Calibri" w:cs="+mn-cs"/>
                                <w:b/>
                                <w:bCs/>
                                <w:sz w:val="16"/>
                                <w:szCs w:val="16"/>
                              </w:rPr>
                              <w:t>41,02%</w:t>
                            </w:r>
                            <w:r>
                              <w:rPr>
                                <w:rFonts w:ascii="Calibri" w:eastAsia="+mn-ea" w:hAnsi="Calibri" w:cs="+mn-cs"/>
                                <w:b/>
                                <w:bCs/>
                                <w:noProof/>
                                <w:sz w:val="16"/>
                                <w:szCs w:val="16"/>
                                <w:lang w:val="it-IT" w:eastAsia="it-IT"/>
                              </w:rPr>
                              <w:drawing>
                                <wp:inline distT="0" distB="0" distL="0" distR="0" wp14:anchorId="2D1A0CC8" wp14:editId="5B690D60">
                                  <wp:extent cx="415925" cy="16054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5925" cy="160548"/>
                                          </a:xfrm>
                                          <a:prstGeom prst="rect">
                                            <a:avLst/>
                                          </a:prstGeom>
                                          <a:noFill/>
                                          <a:ln>
                                            <a:noFill/>
                                          </a:ln>
                                        </pic:spPr>
                                      </pic:pic>
                                    </a:graphicData>
                                  </a:graphic>
                                </wp:inline>
                              </w:drawing>
                            </w:r>
                            <w:r>
                              <w:rPr>
                                <w:rFonts w:ascii="Calibri" w:eastAsia="+mn-ea" w:hAnsi="Calibri" w:cs="+mn-cs"/>
                                <w:b/>
                                <w:bCs/>
                                <w:sz w:val="16"/>
                                <w:szCs w:val="16"/>
                                <w:lang w:val="bg-BG"/>
                              </w:rPr>
                              <w:t>%</w:t>
                            </w:r>
                          </w:p>
                        </w:txbxContent>
                      </wps:txbx>
                      <wps:bodyPr vertOverflow="clip" wrap="square" rtlCol="0"/>
                    </wps:wsp>
                  </a:graphicData>
                </a:graphic>
                <wp14:sizeRelH relativeFrom="margin">
                  <wp14:pctWidth>0</wp14:pctWidth>
                </wp14:sizeRelH>
              </wp:anchor>
            </w:drawing>
          </mc:Choice>
          <mc:Fallback>
            <w:pict>
              <v:shape id="_x0000_s1030" type="#_x0000_t202" style="position:absolute;left:0;text-align:left;margin-left:314.8pt;margin-top:23.95pt;width:47.15pt;height:18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" filled="f" stroked="f">
                <v:textbox>
                  <w:txbxContent>
                    <w:p w14:paraId="409D32F3" w14:textId="77777777" w:rsidR="00165A99" w:rsidRDefault="00165A99" w:rsidP="00CC39B5">
                      <w:pPr>
                        <w:pStyle w:val="NormalWeb"/>
                        <w:spacing w:before="0" w:beforeAutospacing="0" w:after="0" w:afterAutospacing="0"/>
                      </w:pPr>
                      <w:r>
                        <w:rPr>
                          <w:rFonts w:ascii="Calibri" w:eastAsia="+mn-ea" w:hAnsi="Calibri" w:cs="+mn-cs"/>
                          <w:b/>
                          <w:bCs/>
                          <w:sz w:val="16"/>
                          <w:szCs w:val="16"/>
                        </w:rPr>
                        <w:t>41,02%</w:t>
                      </w:r>
                      <w:r>
                        <w:rPr>
                          <w:rFonts w:ascii="Calibri" w:eastAsia="+mn-ea" w:hAnsi="Calibri" w:cs="+mn-cs"/>
                          <w:b/>
                          <w:bCs/>
                          <w:noProof/>
                          <w:sz w:val="16"/>
                          <w:szCs w:val="16"/>
                          <w:lang w:val="en-US" w:eastAsia="en-US"/>
                        </w:rPr>
                        <w:drawing>
                          <wp:inline distT="0" distB="0" distL="0" distR="0" wp14:anchorId="2D1A0CC8" wp14:editId="5B690D60">
                            <wp:extent cx="415925" cy="16054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5925" cy="160548"/>
                                    </a:xfrm>
                                    <a:prstGeom prst="rect">
                                      <a:avLst/>
                                    </a:prstGeom>
                                    <a:noFill/>
                                    <a:ln>
                                      <a:noFill/>
                                    </a:ln>
                                  </pic:spPr>
                                </pic:pic>
                              </a:graphicData>
                            </a:graphic>
                          </wp:inline>
                        </w:drawing>
                      </w:r>
                      <w:r>
                        <w:rPr>
                          <w:rFonts w:ascii="Calibri" w:eastAsia="+mn-ea" w:hAnsi="Calibri" w:cs="+mn-cs"/>
                          <w:b/>
                          <w:bCs/>
                          <w:sz w:val="16"/>
                          <w:szCs w:val="16"/>
                          <w:lang w:val="bg-BG"/>
                        </w:rPr>
                        <w:t>%</w:t>
                      </w:r>
                    </w:p>
                  </w:txbxContent>
                </v:textbox>
              </v:shape>
            </w:pict>
          </mc:Fallback>
        </mc:AlternateContent>
      </w:r>
      <w:r w:rsidRPr="00EA175D">
        <w:rPr>
          <w:lang w:val="it-IT" w:eastAsia="it-IT"/>
        </w:rPr>
        <mc:AlternateContent>
          <mc:Choice Requires="wps">
            <w:drawing>
              <wp:anchor distT="0" distB="0" distL="114300" distR="114300" simplePos="0" relativeHeight="251661312" behindDoc="0" locked="0" layoutInCell="1" allowOverlap="1" wp14:anchorId="705E3FB5" wp14:editId="6ABEF34B">
                <wp:simplePos x="0" y="0"/>
                <wp:positionH relativeFrom="column">
                  <wp:posOffset>2206209</wp:posOffset>
                </wp:positionH>
                <wp:positionV relativeFrom="paragraph">
                  <wp:posOffset>299413</wp:posOffset>
                </wp:positionV>
                <wp:extent cx="599090" cy="228600"/>
                <wp:effectExtent l="0" t="0" r="0" b="0"/>
                <wp:wrapNone/>
                <wp:docPr id="31" name="Text Box 1"/>
                <wp:cNvGraphicFramePr/>
                <a:graphic xmlns:a="http://schemas.openxmlformats.org/drawingml/2006/main">
                  <a:graphicData uri="http://schemas.microsoft.com/office/word/2010/wordprocessingShape">
                    <wps:wsp>
                      <wps:cNvSpPr txBox="1"/>
                      <wps:spPr>
                        <a:xfrm>
                          <a:off x="0" y="0"/>
                          <a:ext cx="599090" cy="228600"/>
                        </a:xfrm>
                        <a:prstGeom prst="rect">
                          <a:avLst/>
                        </a:prstGeom>
                      </wps:spPr>
                      <wps:txbx>
                        <w:txbxContent>
                          <w:p w14:paraId="6581AE41" w14:textId="77777777" w:rsidR="006C23D3" w:rsidRDefault="006C23D3" w:rsidP="00CC39B5">
                            <w:pPr>
                              <w:pStyle w:val="ae"/>
                              <w:spacing w:before="0" w:beforeAutospacing="0" w:after="0" w:afterAutospacing="0"/>
                            </w:pPr>
                            <w:r>
                              <w:rPr>
                                <w:rFonts w:ascii="Calibri" w:eastAsia="+mn-ea" w:hAnsi="Calibri" w:cs="+mn-cs"/>
                                <w:b/>
                                <w:bCs/>
                                <w:sz w:val="16"/>
                                <w:szCs w:val="16"/>
                              </w:rPr>
                              <w:t>42,41%</w:t>
                            </w:r>
                            <w:r>
                              <w:rPr>
                                <w:rFonts w:ascii="Calibri" w:eastAsia="+mn-ea" w:hAnsi="Calibri" w:cs="+mn-cs"/>
                                <w:b/>
                                <w:bCs/>
                                <w:noProof/>
                                <w:sz w:val="16"/>
                                <w:szCs w:val="16"/>
                                <w:lang w:val="it-IT" w:eastAsia="it-IT"/>
                              </w:rPr>
                              <w:drawing>
                                <wp:inline distT="0" distB="0" distL="0" distR="0" wp14:anchorId="683308F8" wp14:editId="08EBFDEB">
                                  <wp:extent cx="415925" cy="160548"/>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5925" cy="160548"/>
                                          </a:xfrm>
                                          <a:prstGeom prst="rect">
                                            <a:avLst/>
                                          </a:prstGeom>
                                          <a:noFill/>
                                          <a:ln>
                                            <a:noFill/>
                                          </a:ln>
                                        </pic:spPr>
                                      </pic:pic>
                                    </a:graphicData>
                                  </a:graphic>
                                </wp:inline>
                              </w:drawing>
                            </w:r>
                            <w:r>
                              <w:rPr>
                                <w:rFonts w:ascii="Calibri" w:eastAsia="+mn-ea" w:hAnsi="Calibri" w:cs="+mn-cs"/>
                                <w:b/>
                                <w:bCs/>
                                <w:sz w:val="16"/>
                                <w:szCs w:val="16"/>
                                <w:lang w:val="bg-BG"/>
                              </w:rPr>
                              <w:t>%</w:t>
                            </w:r>
                          </w:p>
                        </w:txbxContent>
                      </wps:txbx>
                      <wps:bodyPr vertOverflow="clip" wrap="square" rtlCol="0"/>
                    </wps:wsp>
                  </a:graphicData>
                </a:graphic>
                <wp14:sizeRelH relativeFrom="margin">
                  <wp14:pctWidth>0</wp14:pctWidth>
                </wp14:sizeRelH>
              </wp:anchor>
            </w:drawing>
          </mc:Choice>
          <mc:Fallback>
            <w:pict>
              <v:shape id="_x0000_s1031" type="#_x0000_t202" style="position:absolute;left:0;text-align:left;margin-left:173.7pt;margin-top:23.6pt;width:47.15pt;height:18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" filled="f" stroked="f">
                <v:textbox>
                  <w:txbxContent>
                    <w:p w14:paraId="6581AE41" w14:textId="77777777" w:rsidR="00165A99" w:rsidRDefault="00165A99" w:rsidP="00CC39B5">
                      <w:pPr>
                        <w:pStyle w:val="NormalWeb"/>
                        <w:spacing w:before="0" w:beforeAutospacing="0" w:after="0" w:afterAutospacing="0"/>
                      </w:pPr>
                      <w:r>
                        <w:rPr>
                          <w:rFonts w:ascii="Calibri" w:eastAsia="+mn-ea" w:hAnsi="Calibri" w:cs="+mn-cs"/>
                          <w:b/>
                          <w:bCs/>
                          <w:sz w:val="16"/>
                          <w:szCs w:val="16"/>
                        </w:rPr>
                        <w:t>42,41%</w:t>
                      </w:r>
                      <w:r>
                        <w:rPr>
                          <w:rFonts w:ascii="Calibri" w:eastAsia="+mn-ea" w:hAnsi="Calibri" w:cs="+mn-cs"/>
                          <w:b/>
                          <w:bCs/>
                          <w:noProof/>
                          <w:sz w:val="16"/>
                          <w:szCs w:val="16"/>
                          <w:lang w:val="en-US" w:eastAsia="en-US"/>
                        </w:rPr>
                        <w:drawing>
                          <wp:inline distT="0" distB="0" distL="0" distR="0" wp14:anchorId="683308F8" wp14:editId="08EBFDEB">
                            <wp:extent cx="415925" cy="160548"/>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5925" cy="160548"/>
                                    </a:xfrm>
                                    <a:prstGeom prst="rect">
                                      <a:avLst/>
                                    </a:prstGeom>
                                    <a:noFill/>
                                    <a:ln>
                                      <a:noFill/>
                                    </a:ln>
                                  </pic:spPr>
                                </pic:pic>
                              </a:graphicData>
                            </a:graphic>
                          </wp:inline>
                        </w:drawing>
                      </w:r>
                      <w:r>
                        <w:rPr>
                          <w:rFonts w:ascii="Calibri" w:eastAsia="+mn-ea" w:hAnsi="Calibri" w:cs="+mn-cs"/>
                          <w:b/>
                          <w:bCs/>
                          <w:sz w:val="16"/>
                          <w:szCs w:val="16"/>
                          <w:lang w:val="bg-BG"/>
                        </w:rPr>
                        <w:t>%</w:t>
                      </w:r>
                    </w:p>
                  </w:txbxContent>
                </v:textbox>
              </v:shape>
            </w:pict>
          </mc:Fallback>
        </mc:AlternateContent>
      </w:r>
      <w:r w:rsidRPr="00EA175D">
        <w:rPr>
          <w:lang w:val="it-IT" w:eastAsia="it-IT"/>
        </w:rPr>
        <mc:AlternateContent>
          <mc:Choice Requires="wps">
            <w:drawing>
              <wp:anchor distT="0" distB="0" distL="114300" distR="114300" simplePos="0" relativeHeight="251657216" behindDoc="0" locked="0" layoutInCell="1" allowOverlap="1" wp14:anchorId="3A887DDB" wp14:editId="21510CD5">
                <wp:simplePos x="0" y="0"/>
                <wp:positionH relativeFrom="column">
                  <wp:posOffset>934457</wp:posOffset>
                </wp:positionH>
                <wp:positionV relativeFrom="paragraph">
                  <wp:posOffset>299413</wp:posOffset>
                </wp:positionV>
                <wp:extent cx="599090" cy="228600"/>
                <wp:effectExtent l="0" t="0" r="0" b="0"/>
                <wp:wrapNone/>
                <wp:docPr id="30" name="Text Box 1"/>
                <wp:cNvGraphicFramePr/>
                <a:graphic xmlns:a="http://schemas.openxmlformats.org/drawingml/2006/main">
                  <a:graphicData uri="http://schemas.microsoft.com/office/word/2010/wordprocessingShape">
                    <wps:wsp>
                      <wps:cNvSpPr txBox="1"/>
                      <wps:spPr>
                        <a:xfrm>
                          <a:off x="0" y="0"/>
                          <a:ext cx="599090" cy="228600"/>
                        </a:xfrm>
                        <a:prstGeom prst="rect">
                          <a:avLst/>
                        </a:prstGeom>
                      </wps:spPr>
                      <wps:txbx>
                        <w:txbxContent>
                          <w:p w14:paraId="1393B84F" w14:textId="77777777" w:rsidR="006C23D3" w:rsidRDefault="006C23D3" w:rsidP="00CC39B5">
                            <w:pPr>
                              <w:pStyle w:val="ae"/>
                              <w:spacing w:before="0" w:beforeAutospacing="0" w:after="0" w:afterAutospacing="0"/>
                            </w:pPr>
                            <w:r>
                              <w:rPr>
                                <w:rFonts w:ascii="Calibri" w:eastAsia="+mn-ea" w:hAnsi="Calibri" w:cs="+mn-cs"/>
                                <w:b/>
                                <w:bCs/>
                                <w:sz w:val="16"/>
                                <w:szCs w:val="16"/>
                              </w:rPr>
                              <w:t>36,07</w:t>
                            </w:r>
                            <w:r>
                              <w:rPr>
                                <w:rFonts w:ascii="Calibri" w:eastAsia="+mn-ea" w:hAnsi="Calibri" w:cs="+mn-cs"/>
                                <w:b/>
                                <w:bCs/>
                                <w:sz w:val="16"/>
                                <w:szCs w:val="16"/>
                                <w:lang w:val="bg-BG"/>
                              </w:rPr>
                              <w:t>%</w:t>
                            </w:r>
                          </w:p>
                        </w:txbxContent>
                      </wps:txbx>
                      <wps:bodyPr vertOverflow="clip" wrap="square" rtlCol="0"/>
                    </wps:wsp>
                  </a:graphicData>
                </a:graphic>
                <wp14:sizeRelH relativeFrom="margin">
                  <wp14:pctWidth>0</wp14:pctWidth>
                </wp14:sizeRelH>
              </wp:anchor>
            </w:drawing>
          </mc:Choice>
          <mc:Fallback>
            <w:pict>
              <v:shape id="_x0000_s1032" type="#_x0000_t202" style="position:absolute;left:0;text-align:left;margin-left:73.6pt;margin-top:23.6pt;width:47.15pt;height:18pt;z-index:251657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" filled="f" stroked="f">
                <v:textbox>
                  <w:txbxContent>
                    <w:p w14:paraId="1393B84F" w14:textId="77777777" w:rsidR="00165A99" w:rsidRDefault="00165A99" w:rsidP="00CC39B5">
                      <w:pPr>
                        <w:pStyle w:val="NormalWeb"/>
                        <w:spacing w:before="0" w:beforeAutospacing="0" w:after="0" w:afterAutospacing="0"/>
                      </w:pPr>
                      <w:r>
                        <w:rPr>
                          <w:rFonts w:ascii="Calibri" w:eastAsia="+mn-ea" w:hAnsi="Calibri" w:cs="+mn-cs"/>
                          <w:b/>
                          <w:bCs/>
                          <w:sz w:val="16"/>
                          <w:szCs w:val="16"/>
                        </w:rPr>
                        <w:t>36,07</w:t>
                      </w:r>
                      <w:r>
                        <w:rPr>
                          <w:rFonts w:ascii="Calibri" w:eastAsia="+mn-ea" w:hAnsi="Calibri" w:cs="+mn-cs"/>
                          <w:b/>
                          <w:bCs/>
                          <w:sz w:val="16"/>
                          <w:szCs w:val="16"/>
                          <w:lang w:val="bg-BG"/>
                        </w:rPr>
                        <w:t>%</w:t>
                      </w:r>
                    </w:p>
                  </w:txbxContent>
                </v:textbox>
              </v:shape>
            </w:pict>
          </mc:Fallback>
        </mc:AlternateContent>
      </w:r>
      <w:r w:rsidRPr="00EA175D">
        <w:rPr>
          <w:lang w:val="it-IT" w:eastAsia="it-IT"/>
        </w:rPr>
        <mc:AlternateContent>
          <mc:Choice Requires="wps">
            <w:drawing>
              <wp:anchor distT="0" distB="0" distL="114300" distR="114300" simplePos="0" relativeHeight="251653120" behindDoc="0" locked="0" layoutInCell="1" allowOverlap="1" wp14:anchorId="3D660BCA" wp14:editId="0EDF1802">
                <wp:simplePos x="0" y="0"/>
                <wp:positionH relativeFrom="column">
                  <wp:posOffset>785495</wp:posOffset>
                </wp:positionH>
                <wp:positionV relativeFrom="paragraph">
                  <wp:posOffset>70485</wp:posOffset>
                </wp:positionV>
                <wp:extent cx="971550" cy="228600"/>
                <wp:effectExtent l="0" t="0" r="0" b="0"/>
                <wp:wrapNone/>
                <wp:docPr id="29" name="Text Box 1"/>
                <wp:cNvGraphicFramePr/>
                <a:graphic xmlns:a="http://schemas.openxmlformats.org/drawingml/2006/main">
                  <a:graphicData uri="http://schemas.microsoft.com/office/word/2010/wordprocessingShape">
                    <wps:wsp>
                      <wps:cNvSpPr txBox="1"/>
                      <wps:spPr>
                        <a:xfrm>
                          <a:off x="0" y="0"/>
                          <a:ext cx="971550" cy="228600"/>
                        </a:xfrm>
                        <a:prstGeom prst="rect">
                          <a:avLst/>
                        </a:prstGeom>
                      </wps:spPr>
                      <wps:txbx>
                        <w:txbxContent>
                          <w:p w14:paraId="4F751130" w14:textId="77777777" w:rsidR="006C23D3" w:rsidRDefault="006C23D3" w:rsidP="00CC39B5">
                            <w:pPr>
                              <w:pStyle w:val="ae"/>
                              <w:spacing w:before="0" w:beforeAutospacing="0" w:after="0" w:afterAutospacing="0"/>
                            </w:pPr>
                            <w:r>
                              <w:rPr>
                                <w:rFonts w:ascii="Calibri" w:eastAsia="+mn-ea" w:hAnsi="Calibri" w:cs="+mn-cs"/>
                                <w:b/>
                                <w:bCs/>
                                <w:sz w:val="16"/>
                                <w:szCs w:val="16"/>
                                <w:lang w:val="bg-BG"/>
                              </w:rPr>
                              <w:t>% на одобрение</w:t>
                            </w:r>
                          </w:p>
                        </w:txbxContent>
                      </wps:txbx>
                      <wps:bodyPr vertOverflow="clip" wrap="square" rtlCol="0"/>
                    </wps:wsp>
                  </a:graphicData>
                </a:graphic>
              </wp:anchor>
            </w:drawing>
          </mc:Choice>
          <mc:Fallback>
            <w:pict>
              <v:shape id="_x0000_s1033" type="#_x0000_t202" style="position:absolute;left:0;text-align:left;margin-left:61.85pt;margin-top:5.55pt;width:76.5pt;height:18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" filled="f" stroked="f">
                <v:textbox>
                  <w:txbxContent>
                    <w:p w14:paraId="4F751130" w14:textId="77777777" w:rsidR="00165A99" w:rsidRDefault="00165A99" w:rsidP="00CC39B5">
                      <w:pPr>
                        <w:pStyle w:val="NormalWeb"/>
                        <w:spacing w:before="0" w:beforeAutospacing="0" w:after="0" w:afterAutospacing="0"/>
                      </w:pPr>
                      <w:r>
                        <w:rPr>
                          <w:rFonts w:ascii="Calibri" w:eastAsia="+mn-ea" w:hAnsi="Calibri" w:cs="+mn-cs"/>
                          <w:b/>
                          <w:bCs/>
                          <w:sz w:val="16"/>
                          <w:szCs w:val="16"/>
                          <w:lang w:val="bg-BG"/>
                        </w:rPr>
                        <w:t>% на одобрение</w:t>
                      </w:r>
                    </w:p>
                  </w:txbxContent>
                </v:textbox>
              </v:shape>
            </w:pict>
          </mc:Fallback>
        </mc:AlternateContent>
      </w:r>
      <w:r w:rsidR="003D717A" w:rsidRPr="00EA175D">
        <w:rPr>
          <w:lang w:val="it-IT" w:eastAsia="it-IT"/>
        </w:rPr>
        <w:drawing>
          <wp:inline distT="0" distB="0" distL="0" distR="0" wp14:anchorId="1FA8AD1D" wp14:editId="250607B4">
            <wp:extent cx="4572000" cy="3090042"/>
            <wp:effectExtent l="0" t="0" r="19050" b="1524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5B9FC3B" w14:textId="77777777" w:rsidR="002F555E" w:rsidRPr="00EA175D" w:rsidRDefault="002F555E" w:rsidP="00EA175D">
      <w:pPr>
        <w:spacing w:line="360" w:lineRule="auto"/>
        <w:ind w:firstLine="567"/>
        <w:jc w:val="both"/>
        <w:rPr>
          <w:lang w:val="en-GB"/>
        </w:rPr>
      </w:pPr>
    </w:p>
    <w:p w14:paraId="4B0E1C7E" w14:textId="77777777" w:rsidR="002F555E" w:rsidRPr="00EA175D" w:rsidRDefault="002F555E" w:rsidP="00EA175D">
      <w:pPr>
        <w:spacing w:line="360" w:lineRule="auto"/>
        <w:ind w:firstLine="567"/>
        <w:jc w:val="both"/>
      </w:pPr>
      <w:r w:rsidRPr="00EA175D">
        <w:t xml:space="preserve">От представените данни се вижда, че нивата на одобрение по втория прием на стратегии по подмярка 19.2 са значително по-ниски от тези по първия прием. По втория прием нивата на одоборение са около 40%, което показва, че голям дял територии и население не успяват да получат финансиране за прилагане на подхода, което е неблагоприятно за тяхното развитие. </w:t>
      </w:r>
    </w:p>
    <w:p w14:paraId="7767E0AE" w14:textId="77777777" w:rsidR="005C5C1A" w:rsidRPr="00EA175D" w:rsidRDefault="005C5C1A" w:rsidP="00EA175D">
      <w:pPr>
        <w:spacing w:line="360" w:lineRule="auto"/>
        <w:ind w:firstLine="567"/>
        <w:jc w:val="both"/>
      </w:pPr>
      <w:r w:rsidRPr="00EA175D">
        <w:t xml:space="preserve">От одобрените </w:t>
      </w:r>
      <w:r w:rsidR="00352AB8" w:rsidRPr="00EA175D">
        <w:t>25</w:t>
      </w:r>
      <w:r w:rsidRPr="00EA175D">
        <w:t xml:space="preserve"> стратегии 20 са </w:t>
      </w:r>
      <w:r w:rsidR="00352AB8" w:rsidRPr="00EA175D">
        <w:t>много</w:t>
      </w:r>
      <w:r w:rsidRPr="00EA175D">
        <w:t>фондови (3</w:t>
      </w:r>
      <w:r w:rsidR="00352AB8" w:rsidRPr="00EA175D">
        <w:t>4</w:t>
      </w:r>
      <w:r w:rsidRPr="00EA175D">
        <w:t xml:space="preserve"> общини с територия 1</w:t>
      </w:r>
      <w:r w:rsidR="00352AB8" w:rsidRPr="00EA175D">
        <w:t>6</w:t>
      </w:r>
      <w:r w:rsidRPr="00EA175D">
        <w:t xml:space="preserve"> 8</w:t>
      </w:r>
      <w:r w:rsidR="00352AB8" w:rsidRPr="00EA175D">
        <w:t>67</w:t>
      </w:r>
      <w:r w:rsidRPr="00EA175D">
        <w:t xml:space="preserve"> кв. км. и население 4</w:t>
      </w:r>
      <w:r w:rsidR="00352AB8" w:rsidRPr="00EA175D">
        <w:t>82</w:t>
      </w:r>
      <w:r w:rsidRPr="00EA175D">
        <w:t xml:space="preserve"> </w:t>
      </w:r>
      <w:r w:rsidR="00352AB8" w:rsidRPr="00EA175D">
        <w:t>7</w:t>
      </w:r>
      <w:r w:rsidRPr="00EA175D">
        <w:t>0</w:t>
      </w:r>
      <w:r w:rsidR="00352AB8" w:rsidRPr="00EA175D">
        <w:t>3</w:t>
      </w:r>
      <w:r w:rsidRPr="00EA175D">
        <w:t xml:space="preserve"> жители) и </w:t>
      </w:r>
      <w:r w:rsidR="00352AB8" w:rsidRPr="00EA175D">
        <w:t>5</w:t>
      </w:r>
      <w:r w:rsidRPr="00EA175D">
        <w:t xml:space="preserve"> са </w:t>
      </w:r>
      <w:r w:rsidR="00352AB8" w:rsidRPr="00EA175D">
        <w:t>едн</w:t>
      </w:r>
      <w:r w:rsidRPr="00EA175D">
        <w:t>офондови (</w:t>
      </w:r>
      <w:r w:rsidR="00352AB8" w:rsidRPr="00EA175D">
        <w:t>10</w:t>
      </w:r>
      <w:r w:rsidRPr="00EA175D">
        <w:t xml:space="preserve"> общини с територия 5 </w:t>
      </w:r>
      <w:r w:rsidR="00352AB8" w:rsidRPr="00EA175D">
        <w:t>335</w:t>
      </w:r>
      <w:r w:rsidRPr="00EA175D">
        <w:t xml:space="preserve"> кв. км. и население </w:t>
      </w:r>
      <w:r w:rsidR="00352AB8" w:rsidRPr="00EA175D">
        <w:t>136</w:t>
      </w:r>
      <w:r w:rsidRPr="00EA175D">
        <w:t xml:space="preserve"> </w:t>
      </w:r>
      <w:r w:rsidR="00352AB8" w:rsidRPr="00EA175D">
        <w:t>323</w:t>
      </w:r>
      <w:r w:rsidRPr="00EA175D">
        <w:t xml:space="preserve"> жители). От представените данни прави впечатление, че </w:t>
      </w:r>
      <w:r w:rsidR="00352AB8" w:rsidRPr="00EA175D">
        <w:t xml:space="preserve">както и по първи прием, така и по втори </w:t>
      </w:r>
      <w:r w:rsidRPr="00EA175D">
        <w:t xml:space="preserve">териториите на МИГ с многофондови стратегии са по-гъсто населени – </w:t>
      </w:r>
      <w:r w:rsidR="00352AB8" w:rsidRPr="00EA175D">
        <w:t>28</w:t>
      </w:r>
      <w:r w:rsidRPr="00EA175D">
        <w:t>,</w:t>
      </w:r>
      <w:r w:rsidR="00352AB8" w:rsidRPr="00EA175D">
        <w:t>6</w:t>
      </w:r>
      <w:r w:rsidRPr="00EA175D">
        <w:t xml:space="preserve"> жители на кв. км. спрямо териториите на МИГ с еднофондови стратегии – 2</w:t>
      </w:r>
      <w:r w:rsidR="00352AB8" w:rsidRPr="00EA175D">
        <w:t>5</w:t>
      </w:r>
      <w:r w:rsidRPr="00EA175D">
        <w:t>,5 жители на кв. км. Тук може да се търси и една от причините за избор на многофондови стратегии, а именно по-големият потенциал за проекти, поради по-големия брой население на съответните територии.</w:t>
      </w:r>
    </w:p>
    <w:p w14:paraId="67235FB4" w14:textId="2BAFE88E" w:rsidR="00AF30AF" w:rsidRPr="00EA175D" w:rsidRDefault="00AF30AF" w:rsidP="00EA175D">
      <w:pPr>
        <w:spacing w:line="360" w:lineRule="auto"/>
        <w:ind w:firstLine="567"/>
        <w:jc w:val="both"/>
      </w:pPr>
      <w:r w:rsidRPr="00EA175D">
        <w:t xml:space="preserve">Договорените по втория прием по подмярка 19.2 средства са общо </w:t>
      </w:r>
      <w:r w:rsidR="00AF095E" w:rsidRPr="00EA175D">
        <w:t>164 131 681,53</w:t>
      </w:r>
      <w:r w:rsidR="00D2523C" w:rsidRPr="00EA175D">
        <w:t xml:space="preserve"> лева. По отделните програми са договорени следните средства: </w:t>
      </w:r>
      <w:r w:rsidR="006B270F" w:rsidRPr="00EA175D">
        <w:t>по ПРСР 2014 – 2020 г. – 92 558 874,67 лева</w:t>
      </w:r>
      <w:r w:rsidR="00117932" w:rsidRPr="00F77584">
        <w:rPr>
          <w:lang w:val="ru-RU"/>
        </w:rPr>
        <w:t xml:space="preserve"> </w:t>
      </w:r>
      <w:r w:rsidR="00066E02">
        <w:t>(</w:t>
      </w:r>
      <w:r w:rsidR="00117932" w:rsidRPr="00F77584">
        <w:rPr>
          <w:lang w:val="ru-RU"/>
        </w:rPr>
        <w:t xml:space="preserve">47 325 327,06 </w:t>
      </w:r>
      <w:r w:rsidR="00117932" w:rsidRPr="00EA175D">
        <w:t>евро)</w:t>
      </w:r>
      <w:r w:rsidR="006B270F" w:rsidRPr="00EA175D">
        <w:t>, по ОПИК 2014 – 2020 г. – 27 512 614 лева</w:t>
      </w:r>
      <w:r w:rsidR="00117932" w:rsidRPr="00EA175D">
        <w:t xml:space="preserve"> (14 </w:t>
      </w:r>
      <w:r w:rsidR="00117932" w:rsidRPr="00EA175D">
        <w:lastRenderedPageBreak/>
        <w:t>067 191,94 евро)</w:t>
      </w:r>
      <w:r w:rsidR="006B270F" w:rsidRPr="00EA175D">
        <w:t>; по ОПРЧР 2014 – 2020 г. – 23 581 366,80 лева</w:t>
      </w:r>
      <w:r w:rsidR="00117932" w:rsidRPr="00EA175D">
        <w:t xml:space="preserve"> (12 057 146,33 евро)</w:t>
      </w:r>
      <w:r w:rsidR="006B270F" w:rsidRPr="00EA175D">
        <w:t xml:space="preserve">; по ОПОС 2014 – 2020 г. – 10 326 414,69 лева </w:t>
      </w:r>
      <w:r w:rsidR="00117932" w:rsidRPr="00EA175D">
        <w:t xml:space="preserve">(5 279 811,99 евро) </w:t>
      </w:r>
      <w:r w:rsidR="006B270F" w:rsidRPr="00EA175D">
        <w:t>и по ОПНОИР 2014 – 2020 г. – 10 153 634,80 лева</w:t>
      </w:r>
      <w:r w:rsidR="00117932" w:rsidRPr="00EA175D">
        <w:t xml:space="preserve"> (5 191 471,04 евро)</w:t>
      </w:r>
      <w:r w:rsidR="006B270F" w:rsidRPr="00EA175D">
        <w:t>.</w:t>
      </w:r>
    </w:p>
    <w:p w14:paraId="531B7D31" w14:textId="77777777" w:rsidR="00117932" w:rsidRPr="00EA175D" w:rsidRDefault="00117932" w:rsidP="00EA175D">
      <w:pPr>
        <w:spacing w:line="360" w:lineRule="auto"/>
        <w:ind w:firstLine="567"/>
        <w:jc w:val="both"/>
      </w:pPr>
      <w:r w:rsidRPr="00EA175D">
        <w:t>Разпределението на разпологаемите и договорените средства по приема по програми е представено в следващата таблица:</w:t>
      </w:r>
    </w:p>
    <w:tbl>
      <w:tblPr>
        <w:tblStyle w:val="aa"/>
        <w:tblW w:w="0" w:type="auto"/>
        <w:tblLook w:val="04A0" w:firstRow="1" w:lastRow="0" w:firstColumn="1" w:lastColumn="0" w:noHBand="0" w:noVBand="1"/>
      </w:tblPr>
      <w:tblGrid>
        <w:gridCol w:w="2802"/>
        <w:gridCol w:w="2409"/>
        <w:gridCol w:w="2127"/>
        <w:gridCol w:w="2091"/>
      </w:tblGrid>
      <w:tr w:rsidR="00117932" w:rsidRPr="00EA175D" w14:paraId="07D004FB" w14:textId="77777777" w:rsidTr="00DC1EB0">
        <w:tc>
          <w:tcPr>
            <w:tcW w:w="2802" w:type="dxa"/>
          </w:tcPr>
          <w:p w14:paraId="609EA3DB" w14:textId="77777777" w:rsidR="00117932" w:rsidRPr="00EA175D" w:rsidRDefault="00117932" w:rsidP="00EA175D">
            <w:pPr>
              <w:spacing w:line="360" w:lineRule="auto"/>
              <w:jc w:val="both"/>
            </w:pPr>
            <w:r w:rsidRPr="00EA175D">
              <w:t>Финансираща програма</w:t>
            </w:r>
          </w:p>
        </w:tc>
        <w:tc>
          <w:tcPr>
            <w:tcW w:w="2409" w:type="dxa"/>
          </w:tcPr>
          <w:p w14:paraId="4100E758" w14:textId="77777777" w:rsidR="00117932" w:rsidRPr="00EA175D" w:rsidRDefault="00117932" w:rsidP="00EA175D">
            <w:pPr>
              <w:spacing w:line="360" w:lineRule="auto"/>
              <w:jc w:val="both"/>
            </w:pPr>
            <w:r w:rsidRPr="00EA175D">
              <w:t>Разполагаем бюджет, евро</w:t>
            </w:r>
          </w:p>
        </w:tc>
        <w:tc>
          <w:tcPr>
            <w:tcW w:w="2127" w:type="dxa"/>
          </w:tcPr>
          <w:p w14:paraId="5AB7EC31" w14:textId="77777777" w:rsidR="00117932" w:rsidRPr="00EA175D" w:rsidRDefault="00117932" w:rsidP="00EA175D">
            <w:pPr>
              <w:spacing w:line="360" w:lineRule="auto"/>
              <w:jc w:val="both"/>
            </w:pPr>
            <w:r w:rsidRPr="00EA175D">
              <w:t>Договорен бюджет, евро</w:t>
            </w:r>
          </w:p>
        </w:tc>
        <w:tc>
          <w:tcPr>
            <w:tcW w:w="2091" w:type="dxa"/>
          </w:tcPr>
          <w:p w14:paraId="5CECE9BE" w14:textId="77777777" w:rsidR="00117932" w:rsidRPr="00EA175D" w:rsidRDefault="00117932" w:rsidP="00EA175D">
            <w:pPr>
              <w:spacing w:line="360" w:lineRule="auto"/>
              <w:jc w:val="both"/>
            </w:pPr>
            <w:r w:rsidRPr="00EA175D">
              <w:t xml:space="preserve">Съотношение </w:t>
            </w:r>
          </w:p>
        </w:tc>
      </w:tr>
      <w:tr w:rsidR="00117932" w:rsidRPr="00EA175D" w14:paraId="6608753A" w14:textId="77777777" w:rsidTr="00DC1EB0">
        <w:trPr>
          <w:trHeight w:val="94"/>
        </w:trPr>
        <w:tc>
          <w:tcPr>
            <w:tcW w:w="2802" w:type="dxa"/>
          </w:tcPr>
          <w:p w14:paraId="525BB453" w14:textId="77777777" w:rsidR="00117932" w:rsidRPr="00EA175D" w:rsidRDefault="00117932" w:rsidP="00EA175D">
            <w:pPr>
              <w:spacing w:line="360" w:lineRule="auto"/>
              <w:jc w:val="both"/>
            </w:pPr>
            <w:r w:rsidRPr="00EA175D">
              <w:t>ПРСР 2014 – 2020 г.</w:t>
            </w:r>
          </w:p>
        </w:tc>
        <w:tc>
          <w:tcPr>
            <w:tcW w:w="2409" w:type="dxa"/>
          </w:tcPr>
          <w:p w14:paraId="2321B543" w14:textId="77777777" w:rsidR="00117932" w:rsidRPr="00EA175D" w:rsidRDefault="004A60E8" w:rsidP="00EA175D">
            <w:pPr>
              <w:spacing w:line="360" w:lineRule="auto"/>
              <w:jc w:val="both"/>
              <w:rPr>
                <w:lang w:val="en-GB"/>
              </w:rPr>
            </w:pPr>
            <w:r w:rsidRPr="00EA175D">
              <w:rPr>
                <w:lang w:val="en-GB"/>
              </w:rPr>
              <w:t>47 507 008</w:t>
            </w:r>
          </w:p>
        </w:tc>
        <w:tc>
          <w:tcPr>
            <w:tcW w:w="2127" w:type="dxa"/>
          </w:tcPr>
          <w:p w14:paraId="5F338E66" w14:textId="77777777" w:rsidR="00117932" w:rsidRPr="00EA175D" w:rsidRDefault="00117932" w:rsidP="00EA175D">
            <w:pPr>
              <w:spacing w:line="360" w:lineRule="auto"/>
              <w:jc w:val="both"/>
              <w:rPr>
                <w:lang w:val="en-GB"/>
              </w:rPr>
            </w:pPr>
            <w:r w:rsidRPr="00EA175D">
              <w:rPr>
                <w:lang w:val="en-GB"/>
              </w:rPr>
              <w:t>47 325 327</w:t>
            </w:r>
          </w:p>
        </w:tc>
        <w:tc>
          <w:tcPr>
            <w:tcW w:w="2091" w:type="dxa"/>
          </w:tcPr>
          <w:p w14:paraId="57EACEB2" w14:textId="77777777" w:rsidR="00117932" w:rsidRPr="00EA175D" w:rsidRDefault="004A60E8" w:rsidP="00EA175D">
            <w:pPr>
              <w:spacing w:line="360" w:lineRule="auto"/>
              <w:jc w:val="both"/>
            </w:pPr>
            <w:r w:rsidRPr="00EA175D">
              <w:rPr>
                <w:lang w:val="en-GB"/>
              </w:rPr>
              <w:t>99</w:t>
            </w:r>
            <w:r w:rsidRPr="00EA175D">
              <w:t>,62%</w:t>
            </w:r>
          </w:p>
        </w:tc>
      </w:tr>
      <w:tr w:rsidR="00117932" w:rsidRPr="00EA175D" w14:paraId="59CEFD72" w14:textId="77777777" w:rsidTr="00DC1EB0">
        <w:tc>
          <w:tcPr>
            <w:tcW w:w="2802" w:type="dxa"/>
          </w:tcPr>
          <w:p w14:paraId="6D8627DB" w14:textId="77777777" w:rsidR="00117932" w:rsidRPr="00EA175D" w:rsidRDefault="00117932" w:rsidP="00EA175D">
            <w:pPr>
              <w:spacing w:line="360" w:lineRule="auto"/>
              <w:jc w:val="both"/>
            </w:pPr>
            <w:r w:rsidRPr="00EA175D">
              <w:t>ОПИК 2014 – 2020 г.</w:t>
            </w:r>
          </w:p>
        </w:tc>
        <w:tc>
          <w:tcPr>
            <w:tcW w:w="2409" w:type="dxa"/>
          </w:tcPr>
          <w:p w14:paraId="4EB3EB14" w14:textId="77777777" w:rsidR="00117932" w:rsidRPr="00EA175D" w:rsidRDefault="00117932" w:rsidP="00EA175D">
            <w:pPr>
              <w:spacing w:line="360" w:lineRule="auto"/>
              <w:jc w:val="both"/>
              <w:rPr>
                <w:lang w:val="en-GB"/>
              </w:rPr>
            </w:pPr>
            <w:r w:rsidRPr="00EA175D">
              <w:rPr>
                <w:lang w:val="en-GB"/>
              </w:rPr>
              <w:t>48 280 560</w:t>
            </w:r>
          </w:p>
        </w:tc>
        <w:tc>
          <w:tcPr>
            <w:tcW w:w="2127" w:type="dxa"/>
          </w:tcPr>
          <w:p w14:paraId="674E351B" w14:textId="77777777" w:rsidR="00117932" w:rsidRPr="00EA175D" w:rsidRDefault="00117932" w:rsidP="00EA175D">
            <w:pPr>
              <w:spacing w:line="360" w:lineRule="auto"/>
              <w:jc w:val="both"/>
            </w:pPr>
            <w:r w:rsidRPr="00EA175D">
              <w:t>14 067 192</w:t>
            </w:r>
          </w:p>
        </w:tc>
        <w:tc>
          <w:tcPr>
            <w:tcW w:w="2091" w:type="dxa"/>
          </w:tcPr>
          <w:p w14:paraId="3E583AA7" w14:textId="77777777" w:rsidR="00117932" w:rsidRPr="00EA175D" w:rsidRDefault="004A60E8" w:rsidP="00EA175D">
            <w:pPr>
              <w:spacing w:line="360" w:lineRule="auto"/>
              <w:jc w:val="both"/>
            </w:pPr>
            <w:r w:rsidRPr="00EA175D">
              <w:t>29,14%</w:t>
            </w:r>
          </w:p>
        </w:tc>
      </w:tr>
      <w:tr w:rsidR="00117932" w:rsidRPr="00EA175D" w14:paraId="0B016176" w14:textId="77777777" w:rsidTr="00DC1EB0">
        <w:tc>
          <w:tcPr>
            <w:tcW w:w="2802" w:type="dxa"/>
          </w:tcPr>
          <w:p w14:paraId="74DDE404" w14:textId="77777777" w:rsidR="00117932" w:rsidRPr="00EA175D" w:rsidRDefault="00117932" w:rsidP="00EA175D">
            <w:pPr>
              <w:spacing w:line="360" w:lineRule="auto"/>
              <w:jc w:val="both"/>
            </w:pPr>
            <w:r w:rsidRPr="00EA175D">
              <w:t>ОПРЧР 2014 – 2020 г.</w:t>
            </w:r>
          </w:p>
        </w:tc>
        <w:tc>
          <w:tcPr>
            <w:tcW w:w="2409" w:type="dxa"/>
          </w:tcPr>
          <w:p w14:paraId="7F8152FA" w14:textId="77777777" w:rsidR="00117932" w:rsidRPr="00EA175D" w:rsidRDefault="00117932" w:rsidP="00EA175D">
            <w:pPr>
              <w:spacing w:line="360" w:lineRule="auto"/>
              <w:jc w:val="both"/>
              <w:rPr>
                <w:lang w:val="en-GB"/>
              </w:rPr>
            </w:pPr>
            <w:r w:rsidRPr="00EA175D">
              <w:rPr>
                <w:lang w:val="en-GB"/>
              </w:rPr>
              <w:t>38 632 334</w:t>
            </w:r>
          </w:p>
        </w:tc>
        <w:tc>
          <w:tcPr>
            <w:tcW w:w="2127" w:type="dxa"/>
          </w:tcPr>
          <w:p w14:paraId="1F5945D2" w14:textId="77777777" w:rsidR="00117932" w:rsidRPr="00EA175D" w:rsidRDefault="00117932" w:rsidP="00EA175D">
            <w:pPr>
              <w:spacing w:line="360" w:lineRule="auto"/>
              <w:jc w:val="both"/>
            </w:pPr>
            <w:r w:rsidRPr="00EA175D">
              <w:t>12 057 146</w:t>
            </w:r>
          </w:p>
        </w:tc>
        <w:tc>
          <w:tcPr>
            <w:tcW w:w="2091" w:type="dxa"/>
          </w:tcPr>
          <w:p w14:paraId="3ED84CA6" w14:textId="77777777" w:rsidR="00117932" w:rsidRPr="00EA175D" w:rsidRDefault="004A60E8" w:rsidP="00EA175D">
            <w:pPr>
              <w:spacing w:line="360" w:lineRule="auto"/>
              <w:jc w:val="both"/>
            </w:pPr>
            <w:r w:rsidRPr="00EA175D">
              <w:t>31,21%</w:t>
            </w:r>
          </w:p>
        </w:tc>
      </w:tr>
      <w:tr w:rsidR="00117932" w:rsidRPr="00EA175D" w14:paraId="2F536399" w14:textId="77777777" w:rsidTr="00DC1EB0">
        <w:tc>
          <w:tcPr>
            <w:tcW w:w="2802" w:type="dxa"/>
          </w:tcPr>
          <w:p w14:paraId="4F04A796" w14:textId="77777777" w:rsidR="00117932" w:rsidRPr="00EA175D" w:rsidRDefault="00117932" w:rsidP="00EA175D">
            <w:pPr>
              <w:spacing w:line="360" w:lineRule="auto"/>
              <w:jc w:val="both"/>
            </w:pPr>
            <w:r w:rsidRPr="00EA175D">
              <w:t>ОПОС 2014 – 2020 г.</w:t>
            </w:r>
          </w:p>
        </w:tc>
        <w:tc>
          <w:tcPr>
            <w:tcW w:w="2409" w:type="dxa"/>
          </w:tcPr>
          <w:p w14:paraId="009DF66B" w14:textId="77777777" w:rsidR="00117932" w:rsidRPr="00EA175D" w:rsidRDefault="00117932" w:rsidP="00EA175D">
            <w:pPr>
              <w:spacing w:line="360" w:lineRule="auto"/>
              <w:jc w:val="both"/>
              <w:rPr>
                <w:lang w:val="en-GB"/>
              </w:rPr>
            </w:pPr>
            <w:r w:rsidRPr="00EA175D">
              <w:rPr>
                <w:lang w:val="en-GB"/>
              </w:rPr>
              <w:t>17 849 603</w:t>
            </w:r>
          </w:p>
        </w:tc>
        <w:tc>
          <w:tcPr>
            <w:tcW w:w="2127" w:type="dxa"/>
          </w:tcPr>
          <w:p w14:paraId="470320F1" w14:textId="77777777" w:rsidR="00117932" w:rsidRPr="00EA175D" w:rsidRDefault="00117932" w:rsidP="00EA175D">
            <w:pPr>
              <w:spacing w:line="360" w:lineRule="auto"/>
              <w:jc w:val="both"/>
            </w:pPr>
            <w:r w:rsidRPr="00EA175D">
              <w:t>5 279 812</w:t>
            </w:r>
          </w:p>
        </w:tc>
        <w:tc>
          <w:tcPr>
            <w:tcW w:w="2091" w:type="dxa"/>
          </w:tcPr>
          <w:p w14:paraId="5E138E9F" w14:textId="77777777" w:rsidR="00117932" w:rsidRPr="00EA175D" w:rsidRDefault="004A60E8" w:rsidP="00EA175D">
            <w:pPr>
              <w:spacing w:line="360" w:lineRule="auto"/>
              <w:jc w:val="both"/>
            </w:pPr>
            <w:r w:rsidRPr="00EA175D">
              <w:t>29,58%</w:t>
            </w:r>
          </w:p>
        </w:tc>
      </w:tr>
      <w:tr w:rsidR="00117932" w:rsidRPr="00EA175D" w14:paraId="22543BA1" w14:textId="77777777" w:rsidTr="00DC1EB0">
        <w:tc>
          <w:tcPr>
            <w:tcW w:w="2802" w:type="dxa"/>
          </w:tcPr>
          <w:p w14:paraId="2D20A565" w14:textId="77777777" w:rsidR="00117932" w:rsidRPr="00EA175D" w:rsidRDefault="00117932" w:rsidP="00EA175D">
            <w:pPr>
              <w:spacing w:line="360" w:lineRule="auto"/>
              <w:jc w:val="both"/>
            </w:pPr>
            <w:r w:rsidRPr="00EA175D">
              <w:t>ОПНОИР 2014 – 2020 г.</w:t>
            </w:r>
          </w:p>
        </w:tc>
        <w:tc>
          <w:tcPr>
            <w:tcW w:w="2409" w:type="dxa"/>
          </w:tcPr>
          <w:p w14:paraId="5875F21A" w14:textId="77777777" w:rsidR="00117932" w:rsidRPr="00EA175D" w:rsidRDefault="00117932" w:rsidP="00EA175D">
            <w:pPr>
              <w:spacing w:line="360" w:lineRule="auto"/>
              <w:jc w:val="both"/>
              <w:rPr>
                <w:bCs/>
                <w:color w:val="000000"/>
                <w:lang w:val="en-GB"/>
              </w:rPr>
            </w:pPr>
            <w:r w:rsidRPr="00EA175D">
              <w:rPr>
                <w:bCs/>
                <w:color w:val="000000"/>
              </w:rPr>
              <w:t>40 903 350</w:t>
            </w:r>
          </w:p>
        </w:tc>
        <w:tc>
          <w:tcPr>
            <w:tcW w:w="2127" w:type="dxa"/>
          </w:tcPr>
          <w:p w14:paraId="3FD5A431" w14:textId="77777777" w:rsidR="00117932" w:rsidRPr="00EA175D" w:rsidRDefault="00C727C6" w:rsidP="00EA175D">
            <w:pPr>
              <w:spacing w:line="360" w:lineRule="auto"/>
              <w:jc w:val="both"/>
            </w:pPr>
            <w:r w:rsidRPr="00EA175D">
              <w:t>5 191 471</w:t>
            </w:r>
          </w:p>
        </w:tc>
        <w:tc>
          <w:tcPr>
            <w:tcW w:w="2091" w:type="dxa"/>
          </w:tcPr>
          <w:p w14:paraId="0208AFFD" w14:textId="77777777" w:rsidR="00117932" w:rsidRPr="00EA175D" w:rsidRDefault="004A60E8" w:rsidP="00EA175D">
            <w:pPr>
              <w:spacing w:line="360" w:lineRule="auto"/>
              <w:jc w:val="both"/>
            </w:pPr>
            <w:r w:rsidRPr="00EA175D">
              <w:t>12,69%</w:t>
            </w:r>
          </w:p>
        </w:tc>
      </w:tr>
      <w:tr w:rsidR="00117932" w:rsidRPr="00EA175D" w14:paraId="5F8ED6DF" w14:textId="77777777" w:rsidTr="00DC1EB0">
        <w:tc>
          <w:tcPr>
            <w:tcW w:w="2802" w:type="dxa"/>
          </w:tcPr>
          <w:p w14:paraId="1480443E" w14:textId="77777777" w:rsidR="00117932" w:rsidRPr="00EA175D" w:rsidRDefault="00117932" w:rsidP="00EA175D">
            <w:pPr>
              <w:spacing w:line="360" w:lineRule="auto"/>
              <w:jc w:val="both"/>
              <w:rPr>
                <w:lang w:val="en-GB"/>
              </w:rPr>
            </w:pPr>
            <w:r w:rsidRPr="00EA175D">
              <w:t>Общо</w:t>
            </w:r>
            <w:r w:rsidRPr="00EA175D">
              <w:rPr>
                <w:lang w:val="en-GB"/>
              </w:rPr>
              <w:t>*</w:t>
            </w:r>
          </w:p>
        </w:tc>
        <w:tc>
          <w:tcPr>
            <w:tcW w:w="2409" w:type="dxa"/>
          </w:tcPr>
          <w:p w14:paraId="17C6C436" w14:textId="77777777" w:rsidR="00117932" w:rsidRPr="00EA175D" w:rsidRDefault="00117932" w:rsidP="00EA175D">
            <w:pPr>
              <w:spacing w:line="360" w:lineRule="auto"/>
              <w:jc w:val="both"/>
              <w:rPr>
                <w:bCs/>
                <w:color w:val="000000"/>
                <w:lang w:val="en-GB"/>
              </w:rPr>
            </w:pPr>
            <w:r w:rsidRPr="00EA175D">
              <w:rPr>
                <w:bCs/>
                <w:color w:val="000000"/>
                <w:lang w:val="en-GB"/>
              </w:rPr>
              <w:t>1</w:t>
            </w:r>
            <w:r w:rsidR="004A60E8" w:rsidRPr="00EA175D">
              <w:rPr>
                <w:bCs/>
                <w:color w:val="000000"/>
              </w:rPr>
              <w:t>93</w:t>
            </w:r>
            <w:r w:rsidRPr="00EA175D">
              <w:rPr>
                <w:bCs/>
                <w:color w:val="000000"/>
                <w:lang w:val="en-GB"/>
              </w:rPr>
              <w:t xml:space="preserve"> </w:t>
            </w:r>
            <w:r w:rsidR="004A60E8" w:rsidRPr="00EA175D">
              <w:rPr>
                <w:bCs/>
                <w:color w:val="000000"/>
              </w:rPr>
              <w:t>172</w:t>
            </w:r>
            <w:r w:rsidRPr="00EA175D">
              <w:rPr>
                <w:bCs/>
                <w:color w:val="000000"/>
                <w:lang w:val="en-GB"/>
              </w:rPr>
              <w:t xml:space="preserve"> </w:t>
            </w:r>
            <w:r w:rsidR="004A60E8" w:rsidRPr="00EA175D">
              <w:rPr>
                <w:bCs/>
                <w:color w:val="000000"/>
              </w:rPr>
              <w:t>854</w:t>
            </w:r>
          </w:p>
        </w:tc>
        <w:tc>
          <w:tcPr>
            <w:tcW w:w="2127" w:type="dxa"/>
          </w:tcPr>
          <w:p w14:paraId="3F61FC3F" w14:textId="77777777" w:rsidR="00117932" w:rsidRPr="00EA175D" w:rsidRDefault="00145F81" w:rsidP="00EA175D">
            <w:pPr>
              <w:spacing w:line="360" w:lineRule="auto"/>
              <w:jc w:val="both"/>
            </w:pPr>
            <w:r w:rsidRPr="00EA175D">
              <w:t>83 920 948</w:t>
            </w:r>
          </w:p>
        </w:tc>
        <w:tc>
          <w:tcPr>
            <w:tcW w:w="2091" w:type="dxa"/>
          </w:tcPr>
          <w:p w14:paraId="2D16D24E" w14:textId="77777777" w:rsidR="00117932" w:rsidRPr="00EA175D" w:rsidRDefault="004A60E8" w:rsidP="00EA175D">
            <w:pPr>
              <w:spacing w:line="360" w:lineRule="auto"/>
              <w:jc w:val="both"/>
            </w:pPr>
            <w:r w:rsidRPr="00EA175D">
              <w:t>4</w:t>
            </w:r>
            <w:r w:rsidR="00B96A4C" w:rsidRPr="00EA175D">
              <w:rPr>
                <w:lang w:val="en-GB"/>
              </w:rPr>
              <w:t>3</w:t>
            </w:r>
            <w:r w:rsidRPr="00EA175D">
              <w:t>,</w:t>
            </w:r>
            <w:r w:rsidR="00B96A4C" w:rsidRPr="00EA175D">
              <w:rPr>
                <w:lang w:val="en-GB"/>
              </w:rPr>
              <w:t>44</w:t>
            </w:r>
            <w:r w:rsidRPr="00EA175D">
              <w:t>%</w:t>
            </w:r>
          </w:p>
        </w:tc>
      </w:tr>
    </w:tbl>
    <w:p w14:paraId="05D60F5E" w14:textId="77777777" w:rsidR="00117932" w:rsidRPr="00EA175D" w:rsidRDefault="00320B66" w:rsidP="00EA175D">
      <w:pPr>
        <w:spacing w:line="360" w:lineRule="auto"/>
        <w:ind w:firstLine="567"/>
        <w:jc w:val="both"/>
      </w:pPr>
      <w:r w:rsidRPr="00F77584">
        <w:rPr>
          <w:bCs/>
          <w:color w:val="000000"/>
          <w:u w:val="single"/>
          <w:lang w:val="ru-RU"/>
        </w:rPr>
        <w:t>*</w:t>
      </w:r>
      <w:r w:rsidRPr="00EA175D">
        <w:rPr>
          <w:bCs/>
          <w:color w:val="000000"/>
          <w:u w:val="single"/>
        </w:rPr>
        <w:t xml:space="preserve">Забележка – </w:t>
      </w:r>
      <w:r w:rsidRPr="00EA175D">
        <w:rPr>
          <w:u w:val="single"/>
        </w:rPr>
        <w:t>общата стойност е взета като абсолютна стойност, без да отчита отделните фондове.</w:t>
      </w:r>
    </w:p>
    <w:p w14:paraId="00184146" w14:textId="77777777" w:rsidR="00117932" w:rsidRPr="00EA175D" w:rsidRDefault="00117932" w:rsidP="00EA175D">
      <w:pPr>
        <w:spacing w:line="360" w:lineRule="auto"/>
        <w:ind w:firstLine="567"/>
        <w:jc w:val="both"/>
      </w:pPr>
    </w:p>
    <w:p w14:paraId="3D8CCFC7" w14:textId="0A95E324" w:rsidR="00117932" w:rsidRPr="00F77584" w:rsidRDefault="00B96A4C" w:rsidP="00EA175D">
      <w:pPr>
        <w:spacing w:line="360" w:lineRule="auto"/>
        <w:ind w:firstLine="567"/>
        <w:jc w:val="both"/>
        <w:rPr>
          <w:lang w:val="ru-RU"/>
        </w:rPr>
      </w:pPr>
      <w:r w:rsidRPr="00EA175D">
        <w:t>От изнесените данни е видно, че заявените средства по ПРСР 2014 – 2020 г. многократно превишават разполагаемия бюджет по програмата, като по този начин тя се определя като лимитираща по отношение на броя одобрени стратегии. По останалите програми се забелязва повишаване на интереса, но не се достига до разпологаемия бюджет. Поради ограничения бюджет по ПРСР 2</w:t>
      </w:r>
      <w:r w:rsidR="001761A1">
        <w:t>0</w:t>
      </w:r>
      <w:r w:rsidRPr="00EA175D">
        <w:t xml:space="preserve">14 – 2020 г. </w:t>
      </w:r>
      <w:r w:rsidR="00737216" w:rsidRPr="00EA175D">
        <w:t xml:space="preserve">(по програмата се договарят със 177% по-малко от заявените средства) </w:t>
      </w:r>
      <w:r w:rsidRPr="00EA175D">
        <w:t>заявеният бюдже</w:t>
      </w:r>
      <w:r w:rsidR="00066E02">
        <w:t>т</w:t>
      </w:r>
      <w:r w:rsidRPr="00EA175D">
        <w:t xml:space="preserve"> по останалите програми не се договаря. Така по ОПИК 2014 – 2020 г. е договорен с </w:t>
      </w:r>
      <w:r w:rsidR="00737216" w:rsidRPr="00EA175D">
        <w:t>34,05% по-малко, по ОПРЧР 2014 – 2020 г. с 46,80% по-малко, по ОПОС 2014 – 2020 г. – 25,06% по-малко и по ОПНОИР 2014 – 2020 г. – 11,75% по-малко. Общият заявен бюджет се намалява при договаряне с 66,22%.</w:t>
      </w:r>
    </w:p>
    <w:p w14:paraId="5E0BEBB8" w14:textId="77777777" w:rsidR="00B96A4C" w:rsidRPr="00EA175D" w:rsidRDefault="00B96A4C" w:rsidP="00EA175D">
      <w:pPr>
        <w:spacing w:line="360" w:lineRule="auto"/>
        <w:ind w:firstLine="567"/>
        <w:jc w:val="both"/>
      </w:pPr>
    </w:p>
    <w:p w14:paraId="0A5EE4F0" w14:textId="77777777" w:rsidR="00C942A6" w:rsidRPr="00EA175D" w:rsidRDefault="005C5C1A" w:rsidP="00EA175D">
      <w:pPr>
        <w:spacing w:line="360" w:lineRule="auto"/>
        <w:ind w:firstLine="567"/>
        <w:jc w:val="both"/>
      </w:pPr>
      <w:r w:rsidRPr="00EA175D">
        <w:t xml:space="preserve">Местните инициативни групи, чиито стратегии са одобрени по </w:t>
      </w:r>
      <w:r w:rsidR="006E44F9" w:rsidRPr="00EA175D">
        <w:t>втория</w:t>
      </w:r>
      <w:r w:rsidRPr="00EA175D">
        <w:t xml:space="preserve"> прием са както следва:</w:t>
      </w:r>
    </w:p>
    <w:p w14:paraId="75817EA9" w14:textId="77777777" w:rsidR="00DA0F39" w:rsidRPr="00EA175D" w:rsidRDefault="00DA0F39" w:rsidP="00EA175D">
      <w:pPr>
        <w:pStyle w:val="ab"/>
        <w:numPr>
          <w:ilvl w:val="0"/>
          <w:numId w:val="12"/>
        </w:numPr>
        <w:tabs>
          <w:tab w:val="left" w:pos="993"/>
        </w:tabs>
        <w:spacing w:line="360" w:lineRule="auto"/>
        <w:ind w:left="0" w:firstLine="567"/>
        <w:jc w:val="both"/>
      </w:pPr>
      <w:r w:rsidRPr="00EA175D">
        <w:lastRenderedPageBreak/>
        <w:t>Сдружение „Местна инициативна група Тутракан – Сливо поле“;</w:t>
      </w:r>
    </w:p>
    <w:p w14:paraId="03E5116F" w14:textId="77777777" w:rsidR="007B5E25" w:rsidRPr="00EA175D" w:rsidRDefault="00DA0F39" w:rsidP="00EA175D">
      <w:pPr>
        <w:pStyle w:val="ab"/>
        <w:numPr>
          <w:ilvl w:val="0"/>
          <w:numId w:val="12"/>
        </w:numPr>
        <w:tabs>
          <w:tab w:val="left" w:pos="993"/>
        </w:tabs>
        <w:spacing w:line="360" w:lineRule="auto"/>
        <w:ind w:left="0" w:firstLine="567"/>
        <w:jc w:val="both"/>
      </w:pPr>
      <w:r w:rsidRPr="00EA175D">
        <w:t>Сдружение „Местна инициативна група В</w:t>
      </w:r>
      <w:r w:rsidR="007B5E25" w:rsidRPr="00EA175D">
        <w:t>ъзход</w:t>
      </w:r>
      <w:r w:rsidRPr="00EA175D">
        <w:t xml:space="preserve"> </w:t>
      </w:r>
      <w:r w:rsidR="007B5E25" w:rsidRPr="00EA175D">
        <w:t>–</w:t>
      </w:r>
      <w:r w:rsidRPr="00EA175D">
        <w:t xml:space="preserve"> В</w:t>
      </w:r>
      <w:r w:rsidR="007B5E25" w:rsidRPr="00EA175D">
        <w:t>етрино</w:t>
      </w:r>
      <w:r w:rsidRPr="00EA175D">
        <w:t>, В</w:t>
      </w:r>
      <w:r w:rsidR="007B5E25" w:rsidRPr="00EA175D">
        <w:t>ълчи дол</w:t>
      </w:r>
      <w:r w:rsidRPr="00EA175D">
        <w:t>, П</w:t>
      </w:r>
      <w:r w:rsidR="007B5E25" w:rsidRPr="00EA175D">
        <w:t>ровадия“;</w:t>
      </w:r>
    </w:p>
    <w:p w14:paraId="05DA8281" w14:textId="77777777" w:rsidR="00DA0F39" w:rsidRPr="00EA175D" w:rsidRDefault="007B5E25" w:rsidP="00EA175D">
      <w:pPr>
        <w:pStyle w:val="ab"/>
        <w:numPr>
          <w:ilvl w:val="0"/>
          <w:numId w:val="12"/>
        </w:numPr>
        <w:tabs>
          <w:tab w:val="left" w:pos="993"/>
        </w:tabs>
        <w:spacing w:line="360" w:lineRule="auto"/>
        <w:ind w:left="0" w:firstLine="567"/>
        <w:jc w:val="both"/>
      </w:pPr>
      <w:r w:rsidRPr="00EA175D">
        <w:t>Сдружение „Местна инициативна група</w:t>
      </w:r>
      <w:r w:rsidR="00DA0F39" w:rsidRPr="00EA175D">
        <w:t xml:space="preserve"> К</w:t>
      </w:r>
      <w:r w:rsidRPr="00EA175D">
        <w:t>арлуковски карст</w:t>
      </w:r>
      <w:r w:rsidR="00DA0F39" w:rsidRPr="00EA175D">
        <w:t xml:space="preserve"> </w:t>
      </w:r>
      <w:r w:rsidRPr="00EA175D">
        <w:t>–</w:t>
      </w:r>
      <w:r w:rsidR="00DA0F39" w:rsidRPr="00EA175D">
        <w:t xml:space="preserve"> Ч</w:t>
      </w:r>
      <w:r w:rsidRPr="00EA175D">
        <w:t>ервен бряг</w:t>
      </w:r>
      <w:r w:rsidR="00DA0F39" w:rsidRPr="00EA175D">
        <w:t xml:space="preserve"> </w:t>
      </w:r>
      <w:r w:rsidRPr="00EA175D">
        <w:t>–</w:t>
      </w:r>
      <w:r w:rsidR="00DA0F39" w:rsidRPr="00EA175D">
        <w:t xml:space="preserve"> И</w:t>
      </w:r>
      <w:r w:rsidRPr="00EA175D">
        <w:t>скър“;</w:t>
      </w:r>
      <w:r w:rsidR="00DA0F39" w:rsidRPr="00EA175D">
        <w:t xml:space="preserve"> </w:t>
      </w:r>
    </w:p>
    <w:p w14:paraId="2ACD44AA" w14:textId="77777777" w:rsidR="00DA0F39" w:rsidRPr="00EA175D" w:rsidRDefault="007B5E25" w:rsidP="00EA175D">
      <w:pPr>
        <w:pStyle w:val="ab"/>
        <w:numPr>
          <w:ilvl w:val="0"/>
          <w:numId w:val="12"/>
        </w:numPr>
        <w:tabs>
          <w:tab w:val="left" w:pos="993"/>
        </w:tabs>
        <w:spacing w:line="360" w:lineRule="auto"/>
        <w:ind w:left="0" w:firstLine="567"/>
        <w:jc w:val="both"/>
      </w:pPr>
      <w:r w:rsidRPr="00EA175D">
        <w:t>Сдружение „Местна инициативна група</w:t>
      </w:r>
      <w:r w:rsidR="00DA0F39" w:rsidRPr="00EA175D">
        <w:t xml:space="preserve"> Б</w:t>
      </w:r>
      <w:r w:rsidRPr="00EA175D">
        <w:t>яла</w:t>
      </w:r>
      <w:r w:rsidR="00DA0F39" w:rsidRPr="00EA175D">
        <w:t xml:space="preserve"> С</w:t>
      </w:r>
      <w:r w:rsidRPr="00EA175D">
        <w:t>латина“;</w:t>
      </w:r>
      <w:r w:rsidR="00DA0F39" w:rsidRPr="00EA175D">
        <w:t xml:space="preserve"> </w:t>
      </w:r>
    </w:p>
    <w:p w14:paraId="1FCFF145" w14:textId="77777777" w:rsidR="00DA0F39" w:rsidRPr="00EA175D" w:rsidRDefault="007B5E25" w:rsidP="00EA175D">
      <w:pPr>
        <w:pStyle w:val="ab"/>
        <w:numPr>
          <w:ilvl w:val="0"/>
          <w:numId w:val="12"/>
        </w:numPr>
        <w:tabs>
          <w:tab w:val="left" w:pos="993"/>
        </w:tabs>
        <w:spacing w:line="360" w:lineRule="auto"/>
        <w:ind w:left="0" w:firstLine="567"/>
        <w:jc w:val="both"/>
      </w:pPr>
      <w:r w:rsidRPr="00EA175D">
        <w:t>Сдружение „Местна инициативна група</w:t>
      </w:r>
      <w:r w:rsidR="00DA0F39" w:rsidRPr="00EA175D">
        <w:t xml:space="preserve"> </w:t>
      </w:r>
      <w:r w:rsidRPr="00EA175D">
        <w:t>–</w:t>
      </w:r>
      <w:r w:rsidR="00DA0F39" w:rsidRPr="00EA175D">
        <w:t xml:space="preserve"> Я</w:t>
      </w:r>
      <w:r w:rsidRPr="00EA175D">
        <w:t xml:space="preserve">бланица – </w:t>
      </w:r>
      <w:r w:rsidR="00DA0F39" w:rsidRPr="00EA175D">
        <w:t>П</w:t>
      </w:r>
      <w:r w:rsidRPr="00EA175D">
        <w:t>равец“;</w:t>
      </w:r>
      <w:r w:rsidR="00DA0F39" w:rsidRPr="00EA175D">
        <w:t xml:space="preserve"> </w:t>
      </w:r>
    </w:p>
    <w:p w14:paraId="0767B0CC" w14:textId="77777777" w:rsidR="00DA0F39" w:rsidRPr="00EA175D" w:rsidRDefault="007B5E25" w:rsidP="00EA175D">
      <w:pPr>
        <w:pStyle w:val="ab"/>
        <w:numPr>
          <w:ilvl w:val="0"/>
          <w:numId w:val="12"/>
        </w:numPr>
        <w:tabs>
          <w:tab w:val="left" w:pos="993"/>
        </w:tabs>
        <w:spacing w:line="360" w:lineRule="auto"/>
        <w:ind w:left="0" w:firstLine="567"/>
        <w:jc w:val="both"/>
      </w:pPr>
      <w:r w:rsidRPr="00EA175D">
        <w:t xml:space="preserve">Сдружение „Местна инициативна група </w:t>
      </w:r>
      <w:r w:rsidR="00DA0F39" w:rsidRPr="00EA175D">
        <w:t>С</w:t>
      </w:r>
      <w:r w:rsidRPr="00EA175D">
        <w:t>трума</w:t>
      </w:r>
      <w:r w:rsidR="00DA0F39" w:rsidRPr="00EA175D">
        <w:t xml:space="preserve"> – С</w:t>
      </w:r>
      <w:r w:rsidRPr="00EA175D">
        <w:t>имитли</w:t>
      </w:r>
      <w:r w:rsidR="00DA0F39" w:rsidRPr="00EA175D">
        <w:t>, К</w:t>
      </w:r>
      <w:r w:rsidRPr="00EA175D">
        <w:t>ресна и</w:t>
      </w:r>
      <w:r w:rsidR="00DA0F39" w:rsidRPr="00EA175D">
        <w:t xml:space="preserve"> С</w:t>
      </w:r>
      <w:r w:rsidRPr="00EA175D">
        <w:t>трумяни</w:t>
      </w:r>
      <w:r w:rsidR="00DA0F39" w:rsidRPr="00EA175D">
        <w:t>”</w:t>
      </w:r>
      <w:r w:rsidRPr="00EA175D">
        <w:t>;</w:t>
      </w:r>
      <w:r w:rsidR="00DA0F39" w:rsidRPr="00EA175D">
        <w:t xml:space="preserve"> </w:t>
      </w:r>
    </w:p>
    <w:p w14:paraId="2FF63596" w14:textId="77777777" w:rsidR="00DA0F39" w:rsidRPr="00EA175D" w:rsidRDefault="007B5E25" w:rsidP="00EA175D">
      <w:pPr>
        <w:pStyle w:val="ab"/>
        <w:numPr>
          <w:ilvl w:val="0"/>
          <w:numId w:val="12"/>
        </w:numPr>
        <w:tabs>
          <w:tab w:val="left" w:pos="993"/>
        </w:tabs>
        <w:spacing w:line="360" w:lineRule="auto"/>
        <w:ind w:left="0" w:firstLine="567"/>
        <w:jc w:val="both"/>
      </w:pPr>
      <w:r w:rsidRPr="00EA175D">
        <w:t>Сдружение „Местна инициативна група</w:t>
      </w:r>
      <w:r w:rsidR="00DA0F39" w:rsidRPr="00EA175D">
        <w:t xml:space="preserve"> Добричка</w:t>
      </w:r>
      <w:r w:rsidRPr="00EA175D">
        <w:t>“;</w:t>
      </w:r>
    </w:p>
    <w:p w14:paraId="13728D2B" w14:textId="77777777" w:rsidR="00DA0F39" w:rsidRPr="00EA175D" w:rsidRDefault="007B5E25" w:rsidP="00EA175D">
      <w:pPr>
        <w:pStyle w:val="ab"/>
        <w:numPr>
          <w:ilvl w:val="0"/>
          <w:numId w:val="12"/>
        </w:numPr>
        <w:tabs>
          <w:tab w:val="left" w:pos="993"/>
        </w:tabs>
        <w:spacing w:line="360" w:lineRule="auto"/>
        <w:ind w:left="0" w:firstLine="567"/>
        <w:jc w:val="both"/>
      </w:pPr>
      <w:r w:rsidRPr="00EA175D">
        <w:t>Сдружение „Местна инициативна група</w:t>
      </w:r>
      <w:r w:rsidR="00DA0F39" w:rsidRPr="00EA175D">
        <w:t xml:space="preserve"> </w:t>
      </w:r>
      <w:r w:rsidRPr="00EA175D">
        <w:t>–</w:t>
      </w:r>
      <w:r w:rsidR="00DA0F39" w:rsidRPr="00EA175D">
        <w:t xml:space="preserve"> Т</w:t>
      </w:r>
      <w:r w:rsidRPr="00EA175D">
        <w:t>унджа“;</w:t>
      </w:r>
    </w:p>
    <w:p w14:paraId="2C9E5DA6" w14:textId="77777777" w:rsidR="00DA0F39" w:rsidRPr="00EA175D" w:rsidRDefault="007B5E25" w:rsidP="00EA175D">
      <w:pPr>
        <w:pStyle w:val="ab"/>
        <w:numPr>
          <w:ilvl w:val="0"/>
          <w:numId w:val="12"/>
        </w:numPr>
        <w:tabs>
          <w:tab w:val="left" w:pos="993"/>
        </w:tabs>
        <w:spacing w:line="360" w:lineRule="auto"/>
        <w:ind w:left="0" w:firstLine="567"/>
        <w:jc w:val="both"/>
      </w:pPr>
      <w:r w:rsidRPr="00EA175D">
        <w:t>Сдружение „Местна инициативна група</w:t>
      </w:r>
      <w:r w:rsidR="00DA0F39" w:rsidRPr="00EA175D">
        <w:t xml:space="preserve"> Павликени </w:t>
      </w:r>
      <w:r w:rsidRPr="00EA175D">
        <w:t>–</w:t>
      </w:r>
      <w:r w:rsidR="00DA0F39" w:rsidRPr="00EA175D">
        <w:t xml:space="preserve"> Полски Тръмбеш</w:t>
      </w:r>
      <w:r w:rsidRPr="00EA175D">
        <w:t>“;</w:t>
      </w:r>
      <w:r w:rsidR="00DA0F39" w:rsidRPr="00EA175D">
        <w:t xml:space="preserve"> </w:t>
      </w:r>
    </w:p>
    <w:p w14:paraId="527B7787" w14:textId="77777777" w:rsidR="00DA0F39" w:rsidRPr="00EA175D" w:rsidRDefault="007B5E25" w:rsidP="00EA175D">
      <w:pPr>
        <w:pStyle w:val="ab"/>
        <w:numPr>
          <w:ilvl w:val="0"/>
          <w:numId w:val="12"/>
        </w:numPr>
        <w:tabs>
          <w:tab w:val="left" w:pos="993"/>
        </w:tabs>
        <w:spacing w:line="360" w:lineRule="auto"/>
        <w:ind w:left="0" w:firstLine="567"/>
        <w:jc w:val="both"/>
      </w:pPr>
      <w:r w:rsidRPr="00EA175D">
        <w:t>Сдружение „Местна инициативна група</w:t>
      </w:r>
      <w:r w:rsidR="00DA0F39" w:rsidRPr="00EA175D">
        <w:t xml:space="preserve"> Б</w:t>
      </w:r>
      <w:r w:rsidRPr="00EA175D">
        <w:t>алчик –</w:t>
      </w:r>
      <w:r w:rsidR="00DA0F39" w:rsidRPr="00EA175D">
        <w:t xml:space="preserve"> Г</w:t>
      </w:r>
      <w:r w:rsidRPr="00EA175D">
        <w:t>енерал</w:t>
      </w:r>
      <w:r w:rsidR="00DA0F39" w:rsidRPr="00EA175D">
        <w:t xml:space="preserve"> Т</w:t>
      </w:r>
      <w:r w:rsidRPr="00EA175D">
        <w:t>ошево“;</w:t>
      </w:r>
    </w:p>
    <w:p w14:paraId="65A56828" w14:textId="77777777" w:rsidR="00DA0F39" w:rsidRPr="00EA175D" w:rsidRDefault="007B5E25" w:rsidP="00EA175D">
      <w:pPr>
        <w:pStyle w:val="ab"/>
        <w:numPr>
          <w:ilvl w:val="0"/>
          <w:numId w:val="12"/>
        </w:numPr>
        <w:tabs>
          <w:tab w:val="left" w:pos="993"/>
        </w:tabs>
        <w:spacing w:line="360" w:lineRule="auto"/>
        <w:ind w:left="0" w:firstLine="567"/>
        <w:jc w:val="both"/>
      </w:pPr>
      <w:r w:rsidRPr="00EA175D">
        <w:t>Сдружение „Местна инициативна група</w:t>
      </w:r>
      <w:r w:rsidR="00DA0F39" w:rsidRPr="00EA175D">
        <w:t xml:space="preserve"> Главиница </w:t>
      </w:r>
      <w:r w:rsidRPr="00EA175D">
        <w:t>– Ситово  Крайдунавска Добруджа“;</w:t>
      </w:r>
    </w:p>
    <w:p w14:paraId="1599B8E0" w14:textId="77777777" w:rsidR="00DA0F39" w:rsidRPr="00EA175D" w:rsidRDefault="007B5E25" w:rsidP="00EA175D">
      <w:pPr>
        <w:pStyle w:val="ab"/>
        <w:numPr>
          <w:ilvl w:val="0"/>
          <w:numId w:val="12"/>
        </w:numPr>
        <w:tabs>
          <w:tab w:val="left" w:pos="993"/>
        </w:tabs>
        <w:spacing w:line="360" w:lineRule="auto"/>
        <w:ind w:left="0" w:firstLine="567"/>
        <w:jc w:val="both"/>
      </w:pPr>
      <w:r w:rsidRPr="00EA175D">
        <w:t>Сдружение „Местна инициативна група</w:t>
      </w:r>
      <w:r w:rsidR="00DA0F39" w:rsidRPr="00EA175D">
        <w:t xml:space="preserve"> Радомир </w:t>
      </w:r>
      <w:r w:rsidRPr="00EA175D">
        <w:t>–</w:t>
      </w:r>
      <w:r w:rsidR="00DA0F39" w:rsidRPr="00EA175D">
        <w:t xml:space="preserve"> Земен</w:t>
      </w:r>
      <w:r w:rsidRPr="00EA175D">
        <w:t>“;</w:t>
      </w:r>
      <w:r w:rsidR="00DA0F39" w:rsidRPr="00EA175D">
        <w:t xml:space="preserve"> </w:t>
      </w:r>
    </w:p>
    <w:p w14:paraId="455623E5" w14:textId="77777777" w:rsidR="00DA0F39" w:rsidRPr="00EA175D" w:rsidRDefault="007B5E25" w:rsidP="00EA175D">
      <w:pPr>
        <w:pStyle w:val="ab"/>
        <w:numPr>
          <w:ilvl w:val="0"/>
          <w:numId w:val="12"/>
        </w:numPr>
        <w:tabs>
          <w:tab w:val="left" w:pos="993"/>
        </w:tabs>
        <w:spacing w:line="360" w:lineRule="auto"/>
        <w:ind w:left="0" w:firstLine="567"/>
        <w:jc w:val="both"/>
      </w:pPr>
      <w:r w:rsidRPr="00EA175D">
        <w:t>Сдружение „Местна инициативна група</w:t>
      </w:r>
      <w:r w:rsidR="00DA0F39" w:rsidRPr="00EA175D">
        <w:t xml:space="preserve"> Х</w:t>
      </w:r>
      <w:r w:rsidRPr="00EA175D">
        <w:t>исаря“;</w:t>
      </w:r>
    </w:p>
    <w:p w14:paraId="14ABDCB7" w14:textId="77777777" w:rsidR="00DA0F39" w:rsidRPr="00EA175D" w:rsidRDefault="007B5E25" w:rsidP="00EA175D">
      <w:pPr>
        <w:pStyle w:val="ab"/>
        <w:numPr>
          <w:ilvl w:val="0"/>
          <w:numId w:val="12"/>
        </w:numPr>
        <w:tabs>
          <w:tab w:val="left" w:pos="993"/>
        </w:tabs>
        <w:spacing w:line="360" w:lineRule="auto"/>
        <w:ind w:left="0" w:firstLine="567"/>
        <w:jc w:val="both"/>
      </w:pPr>
      <w:r w:rsidRPr="00EA175D">
        <w:t>Сдружение „Местна инициативна група</w:t>
      </w:r>
      <w:r w:rsidR="00DA0F39" w:rsidRPr="00EA175D">
        <w:t xml:space="preserve"> Д</w:t>
      </w:r>
      <w:r w:rsidRPr="00EA175D">
        <w:t>олни чифлик</w:t>
      </w:r>
      <w:r w:rsidR="00DA0F39" w:rsidRPr="00EA175D">
        <w:t xml:space="preserve"> </w:t>
      </w:r>
      <w:r w:rsidRPr="00EA175D">
        <w:t>и</w:t>
      </w:r>
      <w:r w:rsidR="00DA0F39" w:rsidRPr="00EA175D">
        <w:t xml:space="preserve"> Б</w:t>
      </w:r>
      <w:r w:rsidRPr="00EA175D">
        <w:t>яла“;</w:t>
      </w:r>
      <w:r w:rsidR="00DA0F39" w:rsidRPr="00EA175D">
        <w:t xml:space="preserve"> </w:t>
      </w:r>
    </w:p>
    <w:p w14:paraId="203F07C3" w14:textId="77777777" w:rsidR="00DA0F39" w:rsidRPr="00EA175D" w:rsidRDefault="007B5E25" w:rsidP="00EA175D">
      <w:pPr>
        <w:pStyle w:val="ab"/>
        <w:numPr>
          <w:ilvl w:val="0"/>
          <w:numId w:val="12"/>
        </w:numPr>
        <w:tabs>
          <w:tab w:val="left" w:pos="993"/>
        </w:tabs>
        <w:spacing w:line="360" w:lineRule="auto"/>
        <w:ind w:left="0" w:firstLine="567"/>
        <w:jc w:val="both"/>
      </w:pPr>
      <w:r w:rsidRPr="00EA175D">
        <w:t>Сдружение „Местна инициативна група</w:t>
      </w:r>
      <w:r w:rsidR="00DA0F39" w:rsidRPr="00EA175D">
        <w:t xml:space="preserve"> </w:t>
      </w:r>
      <w:r w:rsidRPr="00EA175D">
        <w:t>–</w:t>
      </w:r>
      <w:r w:rsidR="00DA0F39" w:rsidRPr="00EA175D">
        <w:t xml:space="preserve"> Стралджа 2016</w:t>
      </w:r>
      <w:r w:rsidRPr="00EA175D">
        <w:t xml:space="preserve"> </w:t>
      </w:r>
      <w:r w:rsidR="00DA0F39" w:rsidRPr="00EA175D">
        <w:t>г.</w:t>
      </w:r>
      <w:r w:rsidRPr="00EA175D">
        <w:t>“;</w:t>
      </w:r>
      <w:r w:rsidR="00DA0F39" w:rsidRPr="00EA175D">
        <w:t xml:space="preserve"> </w:t>
      </w:r>
    </w:p>
    <w:p w14:paraId="2D198EEB" w14:textId="77777777" w:rsidR="00DA0F39" w:rsidRPr="00EA175D" w:rsidRDefault="007B5E25" w:rsidP="00EA175D">
      <w:pPr>
        <w:pStyle w:val="ab"/>
        <w:numPr>
          <w:ilvl w:val="0"/>
          <w:numId w:val="12"/>
        </w:numPr>
        <w:tabs>
          <w:tab w:val="left" w:pos="993"/>
        </w:tabs>
        <w:spacing w:line="360" w:lineRule="auto"/>
        <w:ind w:left="0" w:firstLine="567"/>
        <w:jc w:val="both"/>
      </w:pPr>
      <w:r w:rsidRPr="00EA175D">
        <w:t>Сдружение „Местна инициативна група</w:t>
      </w:r>
      <w:r w:rsidR="00DA0F39" w:rsidRPr="00EA175D">
        <w:t xml:space="preserve"> С</w:t>
      </w:r>
      <w:r w:rsidRPr="00EA175D">
        <w:t>виленград ареал“;</w:t>
      </w:r>
      <w:r w:rsidR="00DA0F39" w:rsidRPr="00EA175D">
        <w:t xml:space="preserve"> </w:t>
      </w:r>
    </w:p>
    <w:p w14:paraId="488CA75C" w14:textId="77777777" w:rsidR="00DA0F39" w:rsidRPr="00EA175D" w:rsidRDefault="007B5E25" w:rsidP="00EA175D">
      <w:pPr>
        <w:pStyle w:val="ab"/>
        <w:numPr>
          <w:ilvl w:val="0"/>
          <w:numId w:val="12"/>
        </w:numPr>
        <w:tabs>
          <w:tab w:val="left" w:pos="993"/>
        </w:tabs>
        <w:spacing w:line="360" w:lineRule="auto"/>
        <w:ind w:left="0" w:firstLine="567"/>
        <w:jc w:val="both"/>
      </w:pPr>
      <w:r w:rsidRPr="00EA175D">
        <w:t>Сдружение „Местна инициативна група</w:t>
      </w:r>
      <w:r w:rsidR="00DA0F39" w:rsidRPr="00EA175D">
        <w:t xml:space="preserve"> Долна Митрополия </w:t>
      </w:r>
      <w:r w:rsidRPr="00EA175D">
        <w:t>–</w:t>
      </w:r>
      <w:r w:rsidR="00DA0F39" w:rsidRPr="00EA175D">
        <w:t xml:space="preserve"> Долни Дъбник</w:t>
      </w:r>
      <w:r w:rsidRPr="00EA175D">
        <w:t>“;</w:t>
      </w:r>
      <w:r w:rsidR="00DA0F39" w:rsidRPr="00EA175D">
        <w:t xml:space="preserve"> </w:t>
      </w:r>
    </w:p>
    <w:p w14:paraId="56FD5408" w14:textId="77777777" w:rsidR="00DA0F39" w:rsidRPr="00EA175D" w:rsidRDefault="007B5E25" w:rsidP="00EA175D">
      <w:pPr>
        <w:pStyle w:val="ab"/>
        <w:numPr>
          <w:ilvl w:val="0"/>
          <w:numId w:val="12"/>
        </w:numPr>
        <w:tabs>
          <w:tab w:val="left" w:pos="993"/>
        </w:tabs>
        <w:spacing w:line="360" w:lineRule="auto"/>
        <w:ind w:left="0" w:firstLine="567"/>
        <w:jc w:val="both"/>
      </w:pPr>
      <w:r w:rsidRPr="00EA175D">
        <w:t>Сдружение „Местна инициативна група</w:t>
      </w:r>
      <w:r w:rsidR="00DA0F39" w:rsidRPr="00EA175D">
        <w:t xml:space="preserve"> </w:t>
      </w:r>
      <w:r w:rsidRPr="00EA175D">
        <w:t>–</w:t>
      </w:r>
      <w:r w:rsidR="00DA0F39" w:rsidRPr="00EA175D">
        <w:t xml:space="preserve"> С</w:t>
      </w:r>
      <w:r w:rsidRPr="00EA175D">
        <w:t>амоков“;</w:t>
      </w:r>
      <w:r w:rsidR="00DA0F39" w:rsidRPr="00EA175D">
        <w:t xml:space="preserve"> </w:t>
      </w:r>
    </w:p>
    <w:p w14:paraId="4F8D880E" w14:textId="77777777" w:rsidR="00DA0F39" w:rsidRPr="00EA175D" w:rsidRDefault="00DA0F39" w:rsidP="00EA175D">
      <w:pPr>
        <w:pStyle w:val="ab"/>
        <w:numPr>
          <w:ilvl w:val="0"/>
          <w:numId w:val="12"/>
        </w:numPr>
        <w:tabs>
          <w:tab w:val="left" w:pos="993"/>
        </w:tabs>
        <w:spacing w:line="360" w:lineRule="auto"/>
        <w:ind w:left="0" w:firstLine="567"/>
        <w:jc w:val="both"/>
      </w:pPr>
      <w:r w:rsidRPr="00EA175D">
        <w:t xml:space="preserve">Сдружение </w:t>
      </w:r>
      <w:r w:rsidR="007B5E25" w:rsidRPr="00EA175D">
        <w:t>„</w:t>
      </w:r>
      <w:r w:rsidRPr="00EA175D">
        <w:t xml:space="preserve">Местна инициативна група </w:t>
      </w:r>
      <w:r w:rsidR="007B5E25" w:rsidRPr="00EA175D">
        <w:t>„</w:t>
      </w:r>
      <w:r w:rsidRPr="00EA175D">
        <w:t xml:space="preserve">Дряново </w:t>
      </w:r>
      <w:r w:rsidR="007B5E25" w:rsidRPr="00EA175D">
        <w:t>–</w:t>
      </w:r>
      <w:r w:rsidRPr="00EA175D">
        <w:t xml:space="preserve"> Трявна </w:t>
      </w:r>
      <w:r w:rsidR="007B5E25" w:rsidRPr="00EA175D">
        <w:t>–</w:t>
      </w:r>
      <w:r w:rsidRPr="00EA175D">
        <w:t xml:space="preserve"> в</w:t>
      </w:r>
      <w:r w:rsidR="007B5E25" w:rsidRPr="00EA175D">
        <w:t xml:space="preserve"> сърцето на Балкана“;</w:t>
      </w:r>
    </w:p>
    <w:p w14:paraId="03A95010" w14:textId="77777777" w:rsidR="00DA0F39" w:rsidRPr="00EA175D" w:rsidRDefault="007B5E25" w:rsidP="00EA175D">
      <w:pPr>
        <w:pStyle w:val="ab"/>
        <w:numPr>
          <w:ilvl w:val="0"/>
          <w:numId w:val="12"/>
        </w:numPr>
        <w:tabs>
          <w:tab w:val="left" w:pos="993"/>
        </w:tabs>
        <w:spacing w:line="360" w:lineRule="auto"/>
        <w:ind w:left="0" w:firstLine="567"/>
        <w:jc w:val="both"/>
      </w:pPr>
      <w:r w:rsidRPr="00EA175D">
        <w:t xml:space="preserve">Сдружение „Местна инициативна група </w:t>
      </w:r>
      <w:r w:rsidR="00DA0F39" w:rsidRPr="00EA175D">
        <w:t>К</w:t>
      </w:r>
      <w:r w:rsidRPr="00EA175D">
        <w:t>остинброд</w:t>
      </w:r>
      <w:r w:rsidR="00DA0F39" w:rsidRPr="00EA175D">
        <w:t xml:space="preserve"> – С</w:t>
      </w:r>
      <w:r w:rsidRPr="00EA175D">
        <w:t>воге“;</w:t>
      </w:r>
      <w:r w:rsidR="00DA0F39" w:rsidRPr="00EA175D">
        <w:t xml:space="preserve"> </w:t>
      </w:r>
    </w:p>
    <w:p w14:paraId="11713A86" w14:textId="77777777" w:rsidR="00DA0F39" w:rsidRPr="00EA175D" w:rsidRDefault="007B5E25" w:rsidP="00EA175D">
      <w:pPr>
        <w:pStyle w:val="ab"/>
        <w:numPr>
          <w:ilvl w:val="0"/>
          <w:numId w:val="12"/>
        </w:numPr>
        <w:tabs>
          <w:tab w:val="left" w:pos="993"/>
        </w:tabs>
        <w:spacing w:line="360" w:lineRule="auto"/>
        <w:ind w:left="0" w:firstLine="567"/>
        <w:jc w:val="both"/>
      </w:pPr>
      <w:r w:rsidRPr="00EA175D">
        <w:t>Сдружение „Местна инициативна група</w:t>
      </w:r>
      <w:r w:rsidR="00DA0F39" w:rsidRPr="00EA175D">
        <w:t xml:space="preserve"> К</w:t>
      </w:r>
      <w:r w:rsidRPr="00EA175D">
        <w:t>ирково</w:t>
      </w:r>
      <w:r w:rsidR="00DA0F39" w:rsidRPr="00EA175D">
        <w:t xml:space="preserve"> </w:t>
      </w:r>
      <w:r w:rsidRPr="00EA175D">
        <w:t>–</w:t>
      </w:r>
      <w:r w:rsidR="00DA0F39" w:rsidRPr="00EA175D">
        <w:t xml:space="preserve"> З</w:t>
      </w:r>
      <w:r w:rsidRPr="00EA175D">
        <w:t>латоград“;</w:t>
      </w:r>
      <w:r w:rsidR="00DA0F39" w:rsidRPr="00EA175D">
        <w:t xml:space="preserve"> </w:t>
      </w:r>
    </w:p>
    <w:p w14:paraId="3FDEEFCF" w14:textId="77777777" w:rsidR="00DA0F39" w:rsidRPr="00EA175D" w:rsidRDefault="007B5E25" w:rsidP="00EA175D">
      <w:pPr>
        <w:pStyle w:val="ab"/>
        <w:numPr>
          <w:ilvl w:val="0"/>
          <w:numId w:val="12"/>
        </w:numPr>
        <w:tabs>
          <w:tab w:val="left" w:pos="993"/>
        </w:tabs>
        <w:spacing w:line="360" w:lineRule="auto"/>
        <w:ind w:left="0" w:firstLine="567"/>
        <w:jc w:val="both"/>
      </w:pPr>
      <w:r w:rsidRPr="00EA175D">
        <w:t>Сдружение „Местна инициативна група</w:t>
      </w:r>
      <w:r w:rsidR="00DA0F39" w:rsidRPr="00EA175D">
        <w:t xml:space="preserve"> Стамболово </w:t>
      </w:r>
      <w:r w:rsidRPr="00EA175D">
        <w:t>–</w:t>
      </w:r>
      <w:r w:rsidR="00DA0F39" w:rsidRPr="00EA175D">
        <w:t xml:space="preserve"> Кърджали 54</w:t>
      </w:r>
      <w:r w:rsidRPr="00EA175D">
        <w:t>“;</w:t>
      </w:r>
      <w:r w:rsidR="00DA0F39" w:rsidRPr="00EA175D">
        <w:t xml:space="preserve"> </w:t>
      </w:r>
    </w:p>
    <w:p w14:paraId="66A2BCD3" w14:textId="77777777" w:rsidR="00DA0F39" w:rsidRPr="00EA175D" w:rsidRDefault="007B5E25" w:rsidP="00EA175D">
      <w:pPr>
        <w:pStyle w:val="ab"/>
        <w:numPr>
          <w:ilvl w:val="0"/>
          <w:numId w:val="12"/>
        </w:numPr>
        <w:tabs>
          <w:tab w:val="left" w:pos="993"/>
        </w:tabs>
        <w:spacing w:line="360" w:lineRule="auto"/>
        <w:ind w:left="0" w:firstLine="567"/>
        <w:jc w:val="both"/>
      </w:pPr>
      <w:r w:rsidRPr="00EA175D">
        <w:t>Сдружение „Местна инициативна група</w:t>
      </w:r>
      <w:r w:rsidR="00DA0F39" w:rsidRPr="00EA175D">
        <w:t xml:space="preserve"> Л</w:t>
      </w:r>
      <w:r w:rsidRPr="00EA175D">
        <w:t>ом“;</w:t>
      </w:r>
    </w:p>
    <w:p w14:paraId="0C32E8AF" w14:textId="77777777" w:rsidR="00DA0F39" w:rsidRPr="00EA175D" w:rsidRDefault="007B5E25" w:rsidP="00EA175D">
      <w:pPr>
        <w:pStyle w:val="ab"/>
        <w:numPr>
          <w:ilvl w:val="0"/>
          <w:numId w:val="12"/>
        </w:numPr>
        <w:tabs>
          <w:tab w:val="left" w:pos="993"/>
        </w:tabs>
        <w:spacing w:line="360" w:lineRule="auto"/>
        <w:ind w:left="0" w:firstLine="567"/>
        <w:jc w:val="both"/>
      </w:pPr>
      <w:r w:rsidRPr="00EA175D">
        <w:t>Сдружение „Местна инициативна група</w:t>
      </w:r>
      <w:r w:rsidR="00DA0F39" w:rsidRPr="00EA175D">
        <w:t xml:space="preserve"> Луковит – Роман</w:t>
      </w:r>
      <w:r w:rsidRPr="00EA175D">
        <w:t>“;</w:t>
      </w:r>
      <w:r w:rsidR="00DA0F39" w:rsidRPr="00EA175D">
        <w:t xml:space="preserve"> </w:t>
      </w:r>
    </w:p>
    <w:p w14:paraId="181548FC" w14:textId="77777777" w:rsidR="00AB42CC" w:rsidRPr="00EA175D" w:rsidRDefault="007B5E25" w:rsidP="00EA175D">
      <w:pPr>
        <w:pStyle w:val="ab"/>
        <w:numPr>
          <w:ilvl w:val="0"/>
          <w:numId w:val="12"/>
        </w:numPr>
        <w:tabs>
          <w:tab w:val="left" w:pos="993"/>
        </w:tabs>
        <w:spacing w:line="360" w:lineRule="auto"/>
        <w:ind w:left="0" w:firstLine="567"/>
        <w:jc w:val="both"/>
      </w:pPr>
      <w:r w:rsidRPr="00EA175D">
        <w:lastRenderedPageBreak/>
        <w:t>Сдружение „Местна инициативна група</w:t>
      </w:r>
      <w:r w:rsidR="00DA0F39" w:rsidRPr="00EA175D">
        <w:t xml:space="preserve"> К</w:t>
      </w:r>
      <w:r w:rsidRPr="00EA175D">
        <w:t>уклен</w:t>
      </w:r>
      <w:r w:rsidR="00DA0F39" w:rsidRPr="00EA175D">
        <w:t xml:space="preserve"> </w:t>
      </w:r>
      <w:r w:rsidRPr="00EA175D">
        <w:t>–</w:t>
      </w:r>
      <w:r w:rsidR="00DA0F39" w:rsidRPr="00EA175D">
        <w:t xml:space="preserve"> А</w:t>
      </w:r>
      <w:r w:rsidRPr="00EA175D">
        <w:t>сеновград“.</w:t>
      </w:r>
    </w:p>
    <w:p w14:paraId="039DA2FF" w14:textId="77777777" w:rsidR="00AB42CC" w:rsidRPr="00EA175D" w:rsidRDefault="00AB42CC" w:rsidP="00EA175D">
      <w:pPr>
        <w:pStyle w:val="ab"/>
        <w:tabs>
          <w:tab w:val="left" w:pos="993"/>
        </w:tabs>
        <w:spacing w:line="360" w:lineRule="auto"/>
        <w:ind w:left="567"/>
        <w:jc w:val="both"/>
      </w:pPr>
    </w:p>
    <w:p w14:paraId="5182D3FF" w14:textId="77777777" w:rsidR="00AB42CC" w:rsidRPr="00EA175D" w:rsidRDefault="00E33CB0" w:rsidP="00EA175D">
      <w:pPr>
        <w:spacing w:line="360" w:lineRule="auto"/>
        <w:ind w:firstLine="567"/>
        <w:jc w:val="both"/>
      </w:pPr>
      <w:r w:rsidRPr="00EA175D">
        <w:t xml:space="preserve">Местните инициативни групи, чиито стратегии за ВОМР не са одобрени за финансиране по </w:t>
      </w:r>
      <w:r w:rsidR="006E44F9" w:rsidRPr="00EA175D">
        <w:t>втория</w:t>
      </w:r>
      <w:r w:rsidRPr="00EA175D">
        <w:t xml:space="preserve"> прием за стратегии по подмярка 19.2 са както следва:</w:t>
      </w:r>
    </w:p>
    <w:p w14:paraId="230BC2CB" w14:textId="77777777" w:rsidR="003C71CB" w:rsidRPr="00EA175D" w:rsidRDefault="003C71CB" w:rsidP="00EA175D">
      <w:pPr>
        <w:pStyle w:val="ab"/>
        <w:numPr>
          <w:ilvl w:val="0"/>
          <w:numId w:val="13"/>
        </w:numPr>
        <w:tabs>
          <w:tab w:val="left" w:pos="993"/>
        </w:tabs>
        <w:spacing w:line="360" w:lineRule="auto"/>
        <w:ind w:left="0" w:firstLine="567"/>
        <w:jc w:val="both"/>
      </w:pPr>
      <w:r w:rsidRPr="00EA175D">
        <w:t>Сдружение „Местна инициативна група „Якоруда – Белица“;</w:t>
      </w:r>
    </w:p>
    <w:p w14:paraId="153CA178" w14:textId="77777777" w:rsidR="003C71CB" w:rsidRPr="00EA175D" w:rsidRDefault="003C71CB" w:rsidP="00EA175D">
      <w:pPr>
        <w:pStyle w:val="ab"/>
        <w:numPr>
          <w:ilvl w:val="0"/>
          <w:numId w:val="13"/>
        </w:numPr>
        <w:tabs>
          <w:tab w:val="left" w:pos="993"/>
        </w:tabs>
        <w:spacing w:line="360" w:lineRule="auto"/>
        <w:ind w:left="0" w:firstLine="567"/>
        <w:jc w:val="both"/>
      </w:pPr>
      <w:r w:rsidRPr="00EA175D">
        <w:t>Сдружение „Местна инициативна група – Западна Стара планина – Копрен –Миджур – Чипровци, Чупрене, Георги Дамяново и Ружинци“;</w:t>
      </w:r>
    </w:p>
    <w:p w14:paraId="520B2327" w14:textId="77777777" w:rsidR="003C71CB" w:rsidRPr="00EA175D" w:rsidRDefault="003C71CB" w:rsidP="00EA175D">
      <w:pPr>
        <w:pStyle w:val="ab"/>
        <w:numPr>
          <w:ilvl w:val="0"/>
          <w:numId w:val="13"/>
        </w:numPr>
        <w:tabs>
          <w:tab w:val="left" w:pos="993"/>
        </w:tabs>
        <w:spacing w:line="360" w:lineRule="auto"/>
        <w:ind w:left="0" w:firstLine="567"/>
        <w:jc w:val="both"/>
      </w:pPr>
      <w:r w:rsidRPr="00EA175D">
        <w:t>Сдружение „Местна инициативна група Дългопол – Смядово“;</w:t>
      </w:r>
    </w:p>
    <w:p w14:paraId="10506F9B" w14:textId="77777777" w:rsidR="003C71CB" w:rsidRPr="00EA175D" w:rsidRDefault="003C71CB" w:rsidP="00EA175D">
      <w:pPr>
        <w:pStyle w:val="ab"/>
        <w:numPr>
          <w:ilvl w:val="0"/>
          <w:numId w:val="13"/>
        </w:numPr>
        <w:tabs>
          <w:tab w:val="left" w:pos="993"/>
        </w:tabs>
        <w:spacing w:line="360" w:lineRule="auto"/>
        <w:ind w:left="0" w:firstLine="567"/>
        <w:jc w:val="both"/>
      </w:pPr>
      <w:r w:rsidRPr="00EA175D">
        <w:t>Сдружение „Местна инициативна група – Брацигово – Кричим“;</w:t>
      </w:r>
    </w:p>
    <w:p w14:paraId="78D63804" w14:textId="77777777" w:rsidR="003C71CB" w:rsidRPr="00EA175D" w:rsidRDefault="003C71CB" w:rsidP="00EA175D">
      <w:pPr>
        <w:pStyle w:val="ab"/>
        <w:numPr>
          <w:ilvl w:val="0"/>
          <w:numId w:val="13"/>
        </w:numPr>
        <w:tabs>
          <w:tab w:val="left" w:pos="993"/>
        </w:tabs>
        <w:spacing w:line="360" w:lineRule="auto"/>
        <w:ind w:left="0" w:firstLine="567"/>
        <w:jc w:val="both"/>
      </w:pPr>
      <w:r w:rsidRPr="00EA175D">
        <w:t>Сдружение „Местна инициативна група – Елин Пелин – Горна Малина“;</w:t>
      </w:r>
    </w:p>
    <w:p w14:paraId="4D2FDFD2" w14:textId="77777777" w:rsidR="003C71CB" w:rsidRPr="00EA175D" w:rsidRDefault="003C71CB" w:rsidP="00EA175D">
      <w:pPr>
        <w:pStyle w:val="ab"/>
        <w:numPr>
          <w:ilvl w:val="0"/>
          <w:numId w:val="13"/>
        </w:numPr>
        <w:tabs>
          <w:tab w:val="left" w:pos="993"/>
        </w:tabs>
        <w:spacing w:line="360" w:lineRule="auto"/>
        <w:ind w:left="0" w:firstLine="567"/>
        <w:jc w:val="both"/>
      </w:pPr>
      <w:r w:rsidRPr="00EA175D">
        <w:t>Сдружение „Местна инициативна група Мездра“;</w:t>
      </w:r>
    </w:p>
    <w:p w14:paraId="40AA6A8F" w14:textId="77777777" w:rsidR="003C71CB" w:rsidRPr="00EA175D" w:rsidRDefault="003C71CB" w:rsidP="00EA175D">
      <w:pPr>
        <w:pStyle w:val="ab"/>
        <w:numPr>
          <w:ilvl w:val="0"/>
          <w:numId w:val="13"/>
        </w:numPr>
        <w:tabs>
          <w:tab w:val="left" w:pos="993"/>
        </w:tabs>
        <w:spacing w:line="360" w:lineRule="auto"/>
        <w:ind w:left="0" w:firstLine="567"/>
        <w:jc w:val="both"/>
      </w:pPr>
      <w:r w:rsidRPr="00EA175D">
        <w:t>Сдружение „Местна инициативна група Белоградчик – Димово – Макреш“;</w:t>
      </w:r>
    </w:p>
    <w:p w14:paraId="64C6BFAC" w14:textId="77777777" w:rsidR="003C71CB" w:rsidRPr="00EA175D" w:rsidRDefault="003C71CB" w:rsidP="00EA175D">
      <w:pPr>
        <w:pStyle w:val="ab"/>
        <w:numPr>
          <w:ilvl w:val="0"/>
          <w:numId w:val="13"/>
        </w:numPr>
        <w:tabs>
          <w:tab w:val="left" w:pos="993"/>
        </w:tabs>
        <w:spacing w:line="360" w:lineRule="auto"/>
        <w:ind w:left="0" w:firstLine="567"/>
        <w:jc w:val="both"/>
      </w:pPr>
      <w:r w:rsidRPr="00EA175D">
        <w:t>Сдружение „Местна инициативна група Видин селска част – Ново село“;</w:t>
      </w:r>
    </w:p>
    <w:p w14:paraId="37B40D84" w14:textId="77777777" w:rsidR="003C71CB" w:rsidRPr="00EA175D" w:rsidRDefault="003C71CB" w:rsidP="00EA175D">
      <w:pPr>
        <w:pStyle w:val="ab"/>
        <w:numPr>
          <w:ilvl w:val="0"/>
          <w:numId w:val="13"/>
        </w:numPr>
        <w:tabs>
          <w:tab w:val="left" w:pos="993"/>
        </w:tabs>
        <w:spacing w:line="360" w:lineRule="auto"/>
        <w:ind w:left="0" w:firstLine="567"/>
        <w:jc w:val="both"/>
      </w:pPr>
      <w:r w:rsidRPr="00EA175D">
        <w:t>Сдружение „Местна инициативна група Калояново“;</w:t>
      </w:r>
    </w:p>
    <w:p w14:paraId="1177473D" w14:textId="77777777" w:rsidR="003C71CB" w:rsidRPr="00EA175D" w:rsidRDefault="003C71CB" w:rsidP="00EA175D">
      <w:pPr>
        <w:pStyle w:val="ab"/>
        <w:numPr>
          <w:ilvl w:val="0"/>
          <w:numId w:val="13"/>
        </w:numPr>
        <w:tabs>
          <w:tab w:val="left" w:pos="993"/>
        </w:tabs>
        <w:spacing w:line="360" w:lineRule="auto"/>
        <w:ind w:left="0" w:firstLine="567"/>
        <w:jc w:val="both"/>
      </w:pPr>
      <w:r w:rsidRPr="00EA175D">
        <w:t>Сдружение „Местна инициативна група Община Стамболийски“;</w:t>
      </w:r>
    </w:p>
    <w:p w14:paraId="27F4B12C" w14:textId="77777777" w:rsidR="003C71CB" w:rsidRPr="00EA175D" w:rsidRDefault="003C71CB" w:rsidP="00EA175D">
      <w:pPr>
        <w:pStyle w:val="ab"/>
        <w:numPr>
          <w:ilvl w:val="0"/>
          <w:numId w:val="13"/>
        </w:numPr>
        <w:tabs>
          <w:tab w:val="left" w:pos="993"/>
        </w:tabs>
        <w:spacing w:line="360" w:lineRule="auto"/>
        <w:ind w:left="0" w:firstLine="567"/>
        <w:jc w:val="both"/>
      </w:pPr>
      <w:r w:rsidRPr="00EA175D">
        <w:t>Сдружение „Местна инициативна група Трън, Брезник, Божурище“;</w:t>
      </w:r>
    </w:p>
    <w:p w14:paraId="713DBFCB" w14:textId="77777777" w:rsidR="003C71CB" w:rsidRPr="00EA175D" w:rsidRDefault="003C71CB" w:rsidP="00EA175D">
      <w:pPr>
        <w:pStyle w:val="ab"/>
        <w:numPr>
          <w:ilvl w:val="0"/>
          <w:numId w:val="13"/>
        </w:numPr>
        <w:tabs>
          <w:tab w:val="left" w:pos="993"/>
        </w:tabs>
        <w:spacing w:line="360" w:lineRule="auto"/>
        <w:ind w:left="0" w:firstLine="567"/>
        <w:jc w:val="both"/>
      </w:pPr>
      <w:r w:rsidRPr="00EA175D">
        <w:t>Сдружение „Местна инициативна група Първомай 2016“;</w:t>
      </w:r>
    </w:p>
    <w:p w14:paraId="68F3D4A4" w14:textId="77777777" w:rsidR="003C71CB" w:rsidRPr="00EA175D" w:rsidRDefault="003C71CB" w:rsidP="00EA175D">
      <w:pPr>
        <w:pStyle w:val="ab"/>
        <w:numPr>
          <w:ilvl w:val="0"/>
          <w:numId w:val="13"/>
        </w:numPr>
        <w:tabs>
          <w:tab w:val="left" w:pos="993"/>
        </w:tabs>
        <w:spacing w:line="360" w:lineRule="auto"/>
        <w:ind w:left="0" w:firstLine="567"/>
        <w:jc w:val="both"/>
      </w:pPr>
      <w:r w:rsidRPr="00EA175D">
        <w:t>Сдружение „Местна инициативна група – Карлово“;</w:t>
      </w:r>
    </w:p>
    <w:p w14:paraId="6D318831" w14:textId="77777777" w:rsidR="003C71CB" w:rsidRPr="00EA175D" w:rsidRDefault="003C71CB" w:rsidP="00EA175D">
      <w:pPr>
        <w:pStyle w:val="ab"/>
        <w:numPr>
          <w:ilvl w:val="0"/>
          <w:numId w:val="13"/>
        </w:numPr>
        <w:tabs>
          <w:tab w:val="left" w:pos="993"/>
        </w:tabs>
        <w:spacing w:line="360" w:lineRule="auto"/>
        <w:ind w:left="0" w:firstLine="567"/>
        <w:jc w:val="both"/>
      </w:pPr>
      <w:r w:rsidRPr="00EA175D">
        <w:t>С Сдружение „Местна инициативна група Община Садово“;</w:t>
      </w:r>
    </w:p>
    <w:p w14:paraId="2042C03B" w14:textId="77777777" w:rsidR="003C71CB" w:rsidRPr="00EA175D" w:rsidRDefault="003C71CB" w:rsidP="00EA175D">
      <w:pPr>
        <w:pStyle w:val="ab"/>
        <w:numPr>
          <w:ilvl w:val="0"/>
          <w:numId w:val="13"/>
        </w:numPr>
        <w:tabs>
          <w:tab w:val="left" w:pos="993"/>
        </w:tabs>
        <w:spacing w:line="360" w:lineRule="auto"/>
        <w:ind w:left="0" w:firstLine="567"/>
        <w:jc w:val="both"/>
      </w:pPr>
      <w:r w:rsidRPr="00EA175D">
        <w:t>Сдружение „Местна инициативна група – Севлиево“;</w:t>
      </w:r>
    </w:p>
    <w:p w14:paraId="3BD557CC" w14:textId="77777777" w:rsidR="003C71CB" w:rsidRPr="00EA175D" w:rsidRDefault="003C71CB" w:rsidP="00EA175D">
      <w:pPr>
        <w:pStyle w:val="ab"/>
        <w:numPr>
          <w:ilvl w:val="0"/>
          <w:numId w:val="13"/>
        </w:numPr>
        <w:tabs>
          <w:tab w:val="left" w:pos="993"/>
        </w:tabs>
        <w:spacing w:line="360" w:lineRule="auto"/>
        <w:ind w:left="0" w:firstLine="567"/>
        <w:jc w:val="both"/>
      </w:pPr>
      <w:r w:rsidRPr="00EA175D">
        <w:t>Сдружение „Местна инициативна група – Тополовград“;</w:t>
      </w:r>
    </w:p>
    <w:p w14:paraId="02960814" w14:textId="77777777" w:rsidR="003C71CB" w:rsidRPr="00EA175D" w:rsidRDefault="003C71CB" w:rsidP="00EA175D">
      <w:pPr>
        <w:pStyle w:val="ab"/>
        <w:numPr>
          <w:ilvl w:val="0"/>
          <w:numId w:val="13"/>
        </w:numPr>
        <w:tabs>
          <w:tab w:val="left" w:pos="993"/>
        </w:tabs>
        <w:spacing w:line="360" w:lineRule="auto"/>
        <w:ind w:left="0" w:firstLine="567"/>
        <w:jc w:val="both"/>
      </w:pPr>
      <w:r w:rsidRPr="00EA175D">
        <w:t>Сдружение „Местна инициативна група Чавдар, Златица, Мирково и Челопеч“;</w:t>
      </w:r>
    </w:p>
    <w:p w14:paraId="50C08802" w14:textId="77777777" w:rsidR="003C71CB" w:rsidRPr="00EA175D" w:rsidRDefault="003C71CB" w:rsidP="00EA175D">
      <w:pPr>
        <w:pStyle w:val="ab"/>
        <w:numPr>
          <w:ilvl w:val="0"/>
          <w:numId w:val="13"/>
        </w:numPr>
        <w:tabs>
          <w:tab w:val="left" w:pos="993"/>
        </w:tabs>
        <w:spacing w:line="360" w:lineRule="auto"/>
        <w:ind w:left="0" w:firstLine="567"/>
        <w:jc w:val="both"/>
      </w:pPr>
      <w:r w:rsidRPr="00EA175D">
        <w:t>Сдружение „Местна инициативна група Бяла – Борово 2016“;</w:t>
      </w:r>
    </w:p>
    <w:p w14:paraId="052E9D08" w14:textId="77777777" w:rsidR="003C71CB" w:rsidRPr="00EA175D" w:rsidRDefault="003C71CB" w:rsidP="00EA175D">
      <w:pPr>
        <w:pStyle w:val="ab"/>
        <w:numPr>
          <w:ilvl w:val="0"/>
          <w:numId w:val="13"/>
        </w:numPr>
        <w:tabs>
          <w:tab w:val="left" w:pos="993"/>
        </w:tabs>
        <w:spacing w:line="360" w:lineRule="auto"/>
        <w:ind w:left="0" w:firstLine="567"/>
        <w:jc w:val="both"/>
      </w:pPr>
      <w:r w:rsidRPr="00EA175D">
        <w:t>Сдружение “Местна инициативна група Девин – Смолян“;</w:t>
      </w:r>
    </w:p>
    <w:p w14:paraId="684B0063" w14:textId="77777777" w:rsidR="003C71CB" w:rsidRPr="00EA175D" w:rsidRDefault="003C71CB" w:rsidP="00EA175D">
      <w:pPr>
        <w:pStyle w:val="ab"/>
        <w:numPr>
          <w:ilvl w:val="0"/>
          <w:numId w:val="13"/>
        </w:numPr>
        <w:tabs>
          <w:tab w:val="left" w:pos="993"/>
        </w:tabs>
        <w:spacing w:line="360" w:lineRule="auto"/>
        <w:ind w:left="0" w:firstLine="567"/>
        <w:jc w:val="both"/>
      </w:pPr>
      <w:r w:rsidRPr="00EA175D">
        <w:t>Сдружение „Местна инициативна група Каварна – Шабла“;</w:t>
      </w:r>
    </w:p>
    <w:p w14:paraId="205AD6EB" w14:textId="77777777" w:rsidR="003C71CB" w:rsidRPr="00EA175D" w:rsidRDefault="003C71CB" w:rsidP="00EA175D">
      <w:pPr>
        <w:pStyle w:val="ab"/>
        <w:numPr>
          <w:ilvl w:val="0"/>
          <w:numId w:val="13"/>
        </w:numPr>
        <w:tabs>
          <w:tab w:val="left" w:pos="993"/>
        </w:tabs>
        <w:spacing w:line="360" w:lineRule="auto"/>
        <w:ind w:left="0" w:firstLine="567"/>
        <w:jc w:val="both"/>
      </w:pPr>
      <w:r w:rsidRPr="00EA175D">
        <w:t>Сдружение „Местна инициативна група Невестино – Кюстендил“;</w:t>
      </w:r>
    </w:p>
    <w:p w14:paraId="57F3C000" w14:textId="77777777" w:rsidR="003C71CB" w:rsidRPr="00EA175D" w:rsidRDefault="003C71CB" w:rsidP="00EA175D">
      <w:pPr>
        <w:pStyle w:val="ab"/>
        <w:numPr>
          <w:ilvl w:val="0"/>
          <w:numId w:val="13"/>
        </w:numPr>
        <w:tabs>
          <w:tab w:val="left" w:pos="993"/>
        </w:tabs>
        <w:spacing w:line="360" w:lineRule="auto"/>
        <w:ind w:left="0" w:firstLine="567"/>
        <w:jc w:val="both"/>
      </w:pPr>
      <w:r w:rsidRPr="00EA175D">
        <w:t>Сдружение „Местна инициативна група Несебър“;</w:t>
      </w:r>
    </w:p>
    <w:p w14:paraId="3D19968B" w14:textId="77777777" w:rsidR="003C71CB" w:rsidRPr="00EA175D" w:rsidRDefault="003C71CB" w:rsidP="00EA175D">
      <w:pPr>
        <w:pStyle w:val="ab"/>
        <w:numPr>
          <w:ilvl w:val="0"/>
          <w:numId w:val="13"/>
        </w:numPr>
        <w:tabs>
          <w:tab w:val="left" w:pos="993"/>
        </w:tabs>
        <w:spacing w:line="360" w:lineRule="auto"/>
        <w:ind w:left="0" w:firstLine="567"/>
        <w:jc w:val="both"/>
      </w:pPr>
      <w:r w:rsidRPr="00EA175D">
        <w:t>Сдружение „Местна инициативна група Твърдица“;</w:t>
      </w:r>
    </w:p>
    <w:p w14:paraId="19B12478" w14:textId="77777777" w:rsidR="003C71CB" w:rsidRPr="00EA175D" w:rsidRDefault="003C71CB" w:rsidP="00EA175D">
      <w:pPr>
        <w:pStyle w:val="ab"/>
        <w:numPr>
          <w:ilvl w:val="0"/>
          <w:numId w:val="13"/>
        </w:numPr>
        <w:tabs>
          <w:tab w:val="left" w:pos="993"/>
        </w:tabs>
        <w:spacing w:line="360" w:lineRule="auto"/>
        <w:ind w:left="0" w:firstLine="567"/>
        <w:jc w:val="both"/>
      </w:pPr>
      <w:r w:rsidRPr="00EA175D">
        <w:t>Сдружение „Местна инициативна група – КАРНОБАТ“;</w:t>
      </w:r>
    </w:p>
    <w:p w14:paraId="3BD0DE7E" w14:textId="77777777" w:rsidR="003C71CB" w:rsidRPr="00EA175D" w:rsidRDefault="003C71CB" w:rsidP="00EA175D">
      <w:pPr>
        <w:pStyle w:val="ab"/>
        <w:numPr>
          <w:ilvl w:val="0"/>
          <w:numId w:val="13"/>
        </w:numPr>
        <w:tabs>
          <w:tab w:val="left" w:pos="993"/>
        </w:tabs>
        <w:spacing w:line="360" w:lineRule="auto"/>
        <w:ind w:left="0" w:firstLine="567"/>
        <w:jc w:val="both"/>
      </w:pPr>
      <w:r w:rsidRPr="00EA175D">
        <w:lastRenderedPageBreak/>
        <w:t>Сдружение „Местна инициативна група – Лозница – Самуил – Хитрино“;</w:t>
      </w:r>
    </w:p>
    <w:p w14:paraId="56F46BE0" w14:textId="77777777" w:rsidR="003C71CB" w:rsidRPr="00EA175D" w:rsidRDefault="003C71CB" w:rsidP="00EA175D">
      <w:pPr>
        <w:pStyle w:val="ab"/>
        <w:numPr>
          <w:ilvl w:val="0"/>
          <w:numId w:val="13"/>
        </w:numPr>
        <w:tabs>
          <w:tab w:val="left" w:pos="993"/>
        </w:tabs>
        <w:spacing w:line="360" w:lineRule="auto"/>
        <w:ind w:left="0" w:firstLine="567"/>
        <w:jc w:val="both"/>
      </w:pPr>
      <w:r w:rsidRPr="00EA175D">
        <w:t>Сдружение „Местна инициативна група – Пещера“;</w:t>
      </w:r>
    </w:p>
    <w:p w14:paraId="79DB63FC" w14:textId="77777777" w:rsidR="003C71CB" w:rsidRPr="00EA175D" w:rsidRDefault="003C71CB" w:rsidP="00EA175D">
      <w:pPr>
        <w:pStyle w:val="ab"/>
        <w:numPr>
          <w:ilvl w:val="0"/>
          <w:numId w:val="13"/>
        </w:numPr>
        <w:tabs>
          <w:tab w:val="left" w:pos="993"/>
        </w:tabs>
        <w:spacing w:line="360" w:lineRule="auto"/>
        <w:ind w:left="0" w:firstLine="567"/>
        <w:jc w:val="both"/>
      </w:pPr>
      <w:r w:rsidRPr="00EA175D">
        <w:t>Сдружение „Местна инициативна група – Приморско – Созопол“;</w:t>
      </w:r>
    </w:p>
    <w:p w14:paraId="7097C529" w14:textId="77777777" w:rsidR="003C71CB" w:rsidRPr="00EA175D" w:rsidRDefault="00400AC9" w:rsidP="00EA175D">
      <w:pPr>
        <w:pStyle w:val="ab"/>
        <w:numPr>
          <w:ilvl w:val="0"/>
          <w:numId w:val="13"/>
        </w:numPr>
        <w:tabs>
          <w:tab w:val="left" w:pos="993"/>
        </w:tabs>
        <w:spacing w:line="360" w:lineRule="auto"/>
        <w:ind w:left="0" w:firstLine="567"/>
        <w:jc w:val="both"/>
      </w:pPr>
      <w:r w:rsidRPr="00EA175D">
        <w:t xml:space="preserve">Сдружение „Местна инициативна група </w:t>
      </w:r>
      <w:r w:rsidR="003C71CB" w:rsidRPr="00EA175D">
        <w:t>Ц</w:t>
      </w:r>
      <w:r w:rsidRPr="00EA175D">
        <w:t>арево,</w:t>
      </w:r>
      <w:r w:rsidR="003C71CB" w:rsidRPr="00EA175D">
        <w:t xml:space="preserve"> М</w:t>
      </w:r>
      <w:r w:rsidRPr="00EA175D">
        <w:t>алко</w:t>
      </w:r>
      <w:r w:rsidR="003C71CB" w:rsidRPr="00EA175D">
        <w:t xml:space="preserve"> Т</w:t>
      </w:r>
      <w:r w:rsidRPr="00EA175D">
        <w:t>ърново“;</w:t>
      </w:r>
    </w:p>
    <w:p w14:paraId="0973B799" w14:textId="77777777" w:rsidR="003C71CB" w:rsidRPr="00EA175D" w:rsidRDefault="00400AC9" w:rsidP="00EA175D">
      <w:pPr>
        <w:pStyle w:val="ab"/>
        <w:numPr>
          <w:ilvl w:val="0"/>
          <w:numId w:val="13"/>
        </w:numPr>
        <w:tabs>
          <w:tab w:val="left" w:pos="993"/>
        </w:tabs>
        <w:spacing w:line="360" w:lineRule="auto"/>
        <w:ind w:left="0" w:firstLine="567"/>
        <w:jc w:val="both"/>
      </w:pPr>
      <w:r w:rsidRPr="00EA175D">
        <w:t>Сдружение „Местна инициативна група</w:t>
      </w:r>
      <w:r w:rsidR="003C71CB" w:rsidRPr="00EA175D">
        <w:t xml:space="preserve"> Г</w:t>
      </w:r>
      <w:r w:rsidRPr="00EA175D">
        <w:t>улянци“;</w:t>
      </w:r>
    </w:p>
    <w:p w14:paraId="37572C3E" w14:textId="77777777" w:rsidR="003C71CB" w:rsidRPr="00EA175D" w:rsidRDefault="00400AC9" w:rsidP="00EA175D">
      <w:pPr>
        <w:pStyle w:val="ab"/>
        <w:numPr>
          <w:ilvl w:val="0"/>
          <w:numId w:val="13"/>
        </w:numPr>
        <w:tabs>
          <w:tab w:val="left" w:pos="993"/>
        </w:tabs>
        <w:spacing w:line="360" w:lineRule="auto"/>
        <w:ind w:left="0" w:firstLine="567"/>
        <w:jc w:val="both"/>
      </w:pPr>
      <w:r w:rsidRPr="00EA175D">
        <w:t>Сдружение „Местна инициативна група</w:t>
      </w:r>
      <w:r w:rsidR="003C71CB" w:rsidRPr="00EA175D">
        <w:t xml:space="preserve"> ЛИДЕР </w:t>
      </w:r>
      <w:r w:rsidRPr="00EA175D">
        <w:t>на територия</w:t>
      </w:r>
      <w:r w:rsidR="003C71CB" w:rsidRPr="00EA175D">
        <w:t xml:space="preserve"> Д</w:t>
      </w:r>
      <w:r w:rsidRPr="00EA175D">
        <w:t>ве могили и</w:t>
      </w:r>
      <w:r w:rsidR="003C71CB" w:rsidRPr="00EA175D">
        <w:t xml:space="preserve"> И</w:t>
      </w:r>
      <w:r w:rsidRPr="00EA175D">
        <w:t>ваново“;</w:t>
      </w:r>
    </w:p>
    <w:p w14:paraId="26492130" w14:textId="77777777" w:rsidR="003C71CB" w:rsidRPr="00EA175D" w:rsidRDefault="003C71CB" w:rsidP="00EA175D">
      <w:pPr>
        <w:pStyle w:val="ab"/>
        <w:numPr>
          <w:ilvl w:val="0"/>
          <w:numId w:val="13"/>
        </w:numPr>
        <w:tabs>
          <w:tab w:val="left" w:pos="993"/>
        </w:tabs>
        <w:spacing w:line="360" w:lineRule="auto"/>
        <w:ind w:left="0" w:firstLine="567"/>
        <w:jc w:val="both"/>
      </w:pPr>
      <w:r w:rsidRPr="00EA175D">
        <w:t xml:space="preserve">Сдружение „Местна инициативна група Венец </w:t>
      </w:r>
      <w:r w:rsidR="00F0118B" w:rsidRPr="00EA175D">
        <w:t>–</w:t>
      </w:r>
      <w:r w:rsidRPr="00EA175D">
        <w:t xml:space="preserve"> Каолиново”</w:t>
      </w:r>
      <w:r w:rsidR="00F0118B" w:rsidRPr="00EA175D">
        <w:t>;</w:t>
      </w:r>
    </w:p>
    <w:p w14:paraId="5E8B0008" w14:textId="77777777" w:rsidR="003C71CB" w:rsidRPr="00EA175D" w:rsidRDefault="00F0118B" w:rsidP="00EA175D">
      <w:pPr>
        <w:pStyle w:val="ab"/>
        <w:numPr>
          <w:ilvl w:val="0"/>
          <w:numId w:val="13"/>
        </w:numPr>
        <w:tabs>
          <w:tab w:val="left" w:pos="993"/>
        </w:tabs>
        <w:spacing w:line="360" w:lineRule="auto"/>
        <w:ind w:left="0" w:firstLine="567"/>
        <w:jc w:val="both"/>
      </w:pPr>
      <w:r w:rsidRPr="00EA175D">
        <w:t xml:space="preserve">Сдружение „Местна инициативна група </w:t>
      </w:r>
      <w:r w:rsidR="003C71CB" w:rsidRPr="00EA175D">
        <w:t>П</w:t>
      </w:r>
      <w:r w:rsidRPr="00EA175D">
        <w:t>етрич“;</w:t>
      </w:r>
    </w:p>
    <w:p w14:paraId="158D2BB2" w14:textId="77777777" w:rsidR="003C71CB" w:rsidRPr="00EA175D" w:rsidRDefault="00F0118B" w:rsidP="00EA175D">
      <w:pPr>
        <w:pStyle w:val="ab"/>
        <w:numPr>
          <w:ilvl w:val="0"/>
          <w:numId w:val="13"/>
        </w:numPr>
        <w:tabs>
          <w:tab w:val="left" w:pos="993"/>
        </w:tabs>
        <w:spacing w:line="360" w:lineRule="auto"/>
        <w:ind w:left="0" w:firstLine="567"/>
        <w:jc w:val="both"/>
      </w:pPr>
      <w:r w:rsidRPr="00EA175D">
        <w:t>Сдружение „Местна инициативна група</w:t>
      </w:r>
      <w:r w:rsidR="003C71CB" w:rsidRPr="00EA175D">
        <w:t xml:space="preserve"> </w:t>
      </w:r>
      <w:r w:rsidRPr="00EA175D">
        <w:t>–</w:t>
      </w:r>
      <w:r w:rsidR="003C71CB" w:rsidRPr="00EA175D">
        <w:t xml:space="preserve"> Руен</w:t>
      </w:r>
      <w:r w:rsidRPr="00EA175D">
        <w:t>“;</w:t>
      </w:r>
    </w:p>
    <w:p w14:paraId="63D1F7A5" w14:textId="77777777" w:rsidR="003C71CB" w:rsidRPr="00EA175D" w:rsidRDefault="00F0118B" w:rsidP="00EA175D">
      <w:pPr>
        <w:pStyle w:val="ab"/>
        <w:numPr>
          <w:ilvl w:val="0"/>
          <w:numId w:val="13"/>
        </w:numPr>
        <w:tabs>
          <w:tab w:val="left" w:pos="993"/>
        </w:tabs>
        <w:spacing w:line="360" w:lineRule="auto"/>
        <w:ind w:left="0" w:firstLine="567"/>
        <w:jc w:val="both"/>
      </w:pPr>
      <w:r w:rsidRPr="00EA175D">
        <w:t xml:space="preserve">Сдружение „Местна инициативна група </w:t>
      </w:r>
      <w:r w:rsidR="003C71CB" w:rsidRPr="00EA175D">
        <w:t>Пирдоп, Копривщица и Антон</w:t>
      </w:r>
      <w:r w:rsidRPr="00EA175D">
        <w:t>“;</w:t>
      </w:r>
    </w:p>
    <w:p w14:paraId="091666B0" w14:textId="77777777" w:rsidR="003C71CB" w:rsidRPr="00EA175D" w:rsidRDefault="00F0118B" w:rsidP="00EA175D">
      <w:pPr>
        <w:pStyle w:val="ab"/>
        <w:numPr>
          <w:ilvl w:val="0"/>
          <w:numId w:val="13"/>
        </w:numPr>
        <w:tabs>
          <w:tab w:val="left" w:pos="993"/>
        </w:tabs>
        <w:spacing w:line="360" w:lineRule="auto"/>
        <w:ind w:left="0" w:firstLine="567"/>
        <w:jc w:val="both"/>
      </w:pPr>
      <w:r w:rsidRPr="00EA175D">
        <w:t>Сдружение „Местна инициативна група</w:t>
      </w:r>
      <w:r w:rsidR="003C71CB" w:rsidRPr="00EA175D">
        <w:t xml:space="preserve"> Ботевград</w:t>
      </w:r>
      <w:r w:rsidRPr="00EA175D">
        <w:t>“;</w:t>
      </w:r>
    </w:p>
    <w:p w14:paraId="3B6E1713" w14:textId="77777777" w:rsidR="003C71CB" w:rsidRPr="00EA175D" w:rsidRDefault="00F0118B" w:rsidP="00EA175D">
      <w:pPr>
        <w:pStyle w:val="ab"/>
        <w:numPr>
          <w:ilvl w:val="0"/>
          <w:numId w:val="13"/>
        </w:numPr>
        <w:tabs>
          <w:tab w:val="left" w:pos="993"/>
        </w:tabs>
        <w:spacing w:line="360" w:lineRule="auto"/>
        <w:ind w:left="0" w:firstLine="567"/>
        <w:jc w:val="both"/>
      </w:pPr>
      <w:r w:rsidRPr="00EA175D">
        <w:t>Сдружение „Местна инициативна група</w:t>
      </w:r>
      <w:r w:rsidR="003C71CB" w:rsidRPr="00EA175D">
        <w:t xml:space="preserve"> </w:t>
      </w:r>
      <w:r w:rsidRPr="00EA175D">
        <w:t>–</w:t>
      </w:r>
      <w:r w:rsidR="003C71CB" w:rsidRPr="00EA175D">
        <w:t xml:space="preserve"> К</w:t>
      </w:r>
      <w:r w:rsidRPr="00EA175D">
        <w:t>нежа“;</w:t>
      </w:r>
    </w:p>
    <w:p w14:paraId="09780308" w14:textId="77777777" w:rsidR="003C71CB" w:rsidRPr="00EA175D" w:rsidRDefault="00F0118B" w:rsidP="00EA175D">
      <w:pPr>
        <w:pStyle w:val="ab"/>
        <w:numPr>
          <w:ilvl w:val="0"/>
          <w:numId w:val="13"/>
        </w:numPr>
        <w:tabs>
          <w:tab w:val="left" w:pos="993"/>
        </w:tabs>
        <w:spacing w:line="360" w:lineRule="auto"/>
        <w:ind w:left="0" w:firstLine="567"/>
        <w:jc w:val="both"/>
      </w:pPr>
      <w:r w:rsidRPr="00EA175D">
        <w:t>Сдружение „Местна инициативна група</w:t>
      </w:r>
      <w:r w:rsidR="003C71CB" w:rsidRPr="00EA175D">
        <w:t xml:space="preserve"> За Ихтиман</w:t>
      </w:r>
      <w:r w:rsidRPr="00EA175D">
        <w:t>“;</w:t>
      </w:r>
    </w:p>
    <w:p w14:paraId="5C18F630" w14:textId="77777777" w:rsidR="003C71CB" w:rsidRPr="00EA175D" w:rsidRDefault="00F0118B" w:rsidP="00EA175D">
      <w:pPr>
        <w:pStyle w:val="ab"/>
        <w:numPr>
          <w:ilvl w:val="0"/>
          <w:numId w:val="13"/>
        </w:numPr>
        <w:tabs>
          <w:tab w:val="left" w:pos="993"/>
        </w:tabs>
        <w:spacing w:line="360" w:lineRule="auto"/>
        <w:ind w:left="0" w:firstLine="567"/>
        <w:jc w:val="both"/>
      </w:pPr>
      <w:r w:rsidRPr="00EA175D">
        <w:t>Сдружение „Местна инициативна група</w:t>
      </w:r>
      <w:r w:rsidR="003C71CB" w:rsidRPr="00EA175D">
        <w:t xml:space="preserve"> Камено</w:t>
      </w:r>
      <w:r w:rsidRPr="00EA175D">
        <w:t xml:space="preserve"> – </w:t>
      </w:r>
      <w:r w:rsidR="003C71CB" w:rsidRPr="00EA175D">
        <w:t>Бургас</w:t>
      </w:r>
      <w:r w:rsidRPr="00EA175D">
        <w:t>“;</w:t>
      </w:r>
    </w:p>
    <w:p w14:paraId="44A976B0" w14:textId="77777777" w:rsidR="003C71CB" w:rsidRPr="00EA175D" w:rsidRDefault="00F0118B" w:rsidP="00EA175D">
      <w:pPr>
        <w:pStyle w:val="ab"/>
        <w:numPr>
          <w:ilvl w:val="0"/>
          <w:numId w:val="13"/>
        </w:numPr>
        <w:tabs>
          <w:tab w:val="left" w:pos="993"/>
        </w:tabs>
        <w:spacing w:line="360" w:lineRule="auto"/>
        <w:ind w:left="0" w:firstLine="567"/>
        <w:jc w:val="both"/>
      </w:pPr>
      <w:r w:rsidRPr="00EA175D">
        <w:t>Сдружение „Местна инициативна група</w:t>
      </w:r>
      <w:r w:rsidR="003C71CB" w:rsidRPr="00EA175D">
        <w:t xml:space="preserve"> Ценово</w:t>
      </w:r>
      <w:r w:rsidRPr="00EA175D">
        <w:t xml:space="preserve"> – </w:t>
      </w:r>
      <w:r w:rsidR="003C71CB" w:rsidRPr="00EA175D">
        <w:t>Свищов“</w:t>
      </w:r>
      <w:r w:rsidRPr="00EA175D">
        <w:t>;</w:t>
      </w:r>
    </w:p>
    <w:p w14:paraId="343B2351" w14:textId="77777777" w:rsidR="003C71CB" w:rsidRPr="00EA175D" w:rsidRDefault="00F0118B" w:rsidP="00EA175D">
      <w:pPr>
        <w:pStyle w:val="ab"/>
        <w:numPr>
          <w:ilvl w:val="0"/>
          <w:numId w:val="13"/>
        </w:numPr>
        <w:tabs>
          <w:tab w:val="left" w:pos="993"/>
        </w:tabs>
        <w:spacing w:line="360" w:lineRule="auto"/>
        <w:ind w:left="0" w:firstLine="567"/>
        <w:jc w:val="both"/>
      </w:pPr>
      <w:r w:rsidRPr="00EA175D">
        <w:t>Сдружение „Местна инициативна група</w:t>
      </w:r>
      <w:r w:rsidR="003C71CB" w:rsidRPr="00EA175D">
        <w:t xml:space="preserve"> О</w:t>
      </w:r>
      <w:r w:rsidRPr="00EA175D">
        <w:t>бщини</w:t>
      </w:r>
      <w:r w:rsidR="003C71CB" w:rsidRPr="00EA175D">
        <w:t xml:space="preserve"> А</w:t>
      </w:r>
      <w:r w:rsidRPr="00EA175D">
        <w:t>нтоново</w:t>
      </w:r>
      <w:r w:rsidR="003C71CB" w:rsidRPr="00EA175D">
        <w:t xml:space="preserve"> </w:t>
      </w:r>
      <w:r w:rsidRPr="00EA175D">
        <w:t>–</w:t>
      </w:r>
      <w:r w:rsidR="003C71CB" w:rsidRPr="00EA175D">
        <w:t xml:space="preserve"> О</w:t>
      </w:r>
      <w:r w:rsidRPr="00EA175D">
        <w:t>муртаг“;</w:t>
      </w:r>
      <w:r w:rsidR="003C71CB" w:rsidRPr="00EA175D">
        <w:t xml:space="preserve"> </w:t>
      </w:r>
    </w:p>
    <w:p w14:paraId="5BC6AB0C" w14:textId="77777777" w:rsidR="003C71CB" w:rsidRPr="00EA175D" w:rsidRDefault="00F0118B" w:rsidP="00EA175D">
      <w:pPr>
        <w:pStyle w:val="ab"/>
        <w:numPr>
          <w:ilvl w:val="0"/>
          <w:numId w:val="13"/>
        </w:numPr>
        <w:tabs>
          <w:tab w:val="left" w:pos="993"/>
        </w:tabs>
        <w:spacing w:line="360" w:lineRule="auto"/>
        <w:ind w:left="0" w:firstLine="567"/>
        <w:jc w:val="both"/>
      </w:pPr>
      <w:r w:rsidRPr="00EA175D">
        <w:t>Сдружение „Местна инициативна група</w:t>
      </w:r>
      <w:r w:rsidR="003C71CB" w:rsidRPr="00EA175D">
        <w:t xml:space="preserve"> Бобов дол</w:t>
      </w:r>
      <w:r w:rsidRPr="00EA175D">
        <w:t xml:space="preserve"> – </w:t>
      </w:r>
      <w:r w:rsidR="003C71CB" w:rsidRPr="00EA175D">
        <w:t>Дупница”</w:t>
      </w:r>
      <w:r w:rsidRPr="00EA175D">
        <w:t>;</w:t>
      </w:r>
    </w:p>
    <w:p w14:paraId="6F9CD648" w14:textId="77777777" w:rsidR="003C71CB" w:rsidRPr="00EA175D" w:rsidRDefault="00F0118B" w:rsidP="00EA175D">
      <w:pPr>
        <w:pStyle w:val="ab"/>
        <w:numPr>
          <w:ilvl w:val="0"/>
          <w:numId w:val="13"/>
        </w:numPr>
        <w:tabs>
          <w:tab w:val="left" w:pos="993"/>
        </w:tabs>
        <w:spacing w:line="360" w:lineRule="auto"/>
        <w:ind w:left="0" w:firstLine="567"/>
        <w:jc w:val="both"/>
      </w:pPr>
      <w:r w:rsidRPr="00EA175D">
        <w:t xml:space="preserve">Сдружение „Местна инициативна група </w:t>
      </w:r>
      <w:r w:rsidR="003C71CB" w:rsidRPr="00EA175D">
        <w:t>Т</w:t>
      </w:r>
      <w:r w:rsidRPr="00EA175D">
        <w:t>ерра</w:t>
      </w:r>
      <w:r w:rsidR="003C71CB" w:rsidRPr="00EA175D">
        <w:t xml:space="preserve"> Б</w:t>
      </w:r>
      <w:r w:rsidRPr="00EA175D">
        <w:t xml:space="preserve">есика – </w:t>
      </w:r>
      <w:r w:rsidR="003C71CB" w:rsidRPr="00EA175D">
        <w:t>Б</w:t>
      </w:r>
      <w:r w:rsidRPr="00EA175D">
        <w:t>атак</w:t>
      </w:r>
      <w:r w:rsidR="003C71CB" w:rsidRPr="00EA175D">
        <w:t xml:space="preserve"> </w:t>
      </w:r>
      <w:r w:rsidRPr="00EA175D">
        <w:t>и</w:t>
      </w:r>
      <w:r w:rsidR="003C71CB" w:rsidRPr="00EA175D">
        <w:t xml:space="preserve"> Р</w:t>
      </w:r>
      <w:r w:rsidRPr="00EA175D">
        <w:t>акитово“;</w:t>
      </w:r>
    </w:p>
    <w:p w14:paraId="6ED569B6" w14:textId="77777777" w:rsidR="003C71CB" w:rsidRPr="00EA175D" w:rsidRDefault="00F0118B" w:rsidP="00EA175D">
      <w:pPr>
        <w:pStyle w:val="ab"/>
        <w:numPr>
          <w:ilvl w:val="0"/>
          <w:numId w:val="13"/>
        </w:numPr>
        <w:tabs>
          <w:tab w:val="left" w:pos="993"/>
        </w:tabs>
        <w:spacing w:line="360" w:lineRule="auto"/>
        <w:ind w:left="0" w:firstLine="567"/>
        <w:jc w:val="both"/>
      </w:pPr>
      <w:r w:rsidRPr="00EA175D">
        <w:t xml:space="preserve">Сдружение „Местна инициативна група </w:t>
      </w:r>
      <w:r w:rsidR="003C71CB" w:rsidRPr="00EA175D">
        <w:t>К</w:t>
      </w:r>
      <w:r w:rsidRPr="00EA175D">
        <w:t>ичика</w:t>
      </w:r>
      <w:r w:rsidR="003C71CB" w:rsidRPr="00EA175D">
        <w:t xml:space="preserve"> </w:t>
      </w:r>
      <w:r w:rsidRPr="00EA175D">
        <w:t>–</w:t>
      </w:r>
      <w:r w:rsidR="003C71CB" w:rsidRPr="00EA175D">
        <w:t xml:space="preserve"> М</w:t>
      </w:r>
      <w:r w:rsidRPr="00EA175D">
        <w:t>адан</w:t>
      </w:r>
      <w:r w:rsidR="003C71CB" w:rsidRPr="00EA175D">
        <w:t xml:space="preserve"> </w:t>
      </w:r>
      <w:r w:rsidRPr="00EA175D">
        <w:t>–</w:t>
      </w:r>
      <w:r w:rsidR="003C71CB" w:rsidRPr="00EA175D">
        <w:t xml:space="preserve"> Р</w:t>
      </w:r>
      <w:r w:rsidRPr="00EA175D">
        <w:t>удозем</w:t>
      </w:r>
      <w:r w:rsidR="003C71CB" w:rsidRPr="00EA175D">
        <w:t>”</w:t>
      </w:r>
      <w:r w:rsidRPr="00EA175D">
        <w:t>;</w:t>
      </w:r>
    </w:p>
    <w:p w14:paraId="0C455824" w14:textId="77777777" w:rsidR="003C71CB" w:rsidRPr="00EA175D" w:rsidRDefault="00F0118B" w:rsidP="00EA175D">
      <w:pPr>
        <w:pStyle w:val="ab"/>
        <w:numPr>
          <w:ilvl w:val="0"/>
          <w:numId w:val="13"/>
        </w:numPr>
        <w:tabs>
          <w:tab w:val="left" w:pos="993"/>
        </w:tabs>
        <w:spacing w:line="360" w:lineRule="auto"/>
        <w:ind w:left="0" w:firstLine="567"/>
        <w:jc w:val="both"/>
      </w:pPr>
      <w:r w:rsidRPr="00EA175D">
        <w:t>Сдружение „Местна инициативна група</w:t>
      </w:r>
      <w:r w:rsidR="003C71CB" w:rsidRPr="00EA175D">
        <w:t xml:space="preserve"> В</w:t>
      </w:r>
      <w:r w:rsidRPr="00EA175D">
        <w:t>елики</w:t>
      </w:r>
      <w:r w:rsidR="003C71CB" w:rsidRPr="00EA175D">
        <w:t xml:space="preserve"> П</w:t>
      </w:r>
      <w:r w:rsidRPr="00EA175D">
        <w:t>реслав“;</w:t>
      </w:r>
    </w:p>
    <w:p w14:paraId="5B531BA4" w14:textId="77777777" w:rsidR="003C71CB" w:rsidRPr="00EA175D" w:rsidRDefault="00F0118B" w:rsidP="00EA175D">
      <w:pPr>
        <w:pStyle w:val="ab"/>
        <w:numPr>
          <w:ilvl w:val="0"/>
          <w:numId w:val="13"/>
        </w:numPr>
        <w:tabs>
          <w:tab w:val="left" w:pos="993"/>
        </w:tabs>
        <w:spacing w:line="360" w:lineRule="auto"/>
        <w:ind w:left="0" w:firstLine="567"/>
        <w:jc w:val="both"/>
      </w:pPr>
      <w:r w:rsidRPr="00EA175D">
        <w:t>Сдружение „Местна инициативна група</w:t>
      </w:r>
      <w:r w:rsidR="003C71CB" w:rsidRPr="00EA175D">
        <w:t xml:space="preserve"> Община Етрополе</w:t>
      </w:r>
      <w:r w:rsidRPr="00EA175D">
        <w:t>“.</w:t>
      </w:r>
    </w:p>
    <w:p w14:paraId="1E58561F" w14:textId="77777777" w:rsidR="00E33CB0" w:rsidRPr="00EA175D" w:rsidRDefault="00E33CB0" w:rsidP="00EA175D">
      <w:pPr>
        <w:spacing w:line="360" w:lineRule="auto"/>
        <w:ind w:firstLine="567"/>
        <w:jc w:val="both"/>
      </w:pPr>
    </w:p>
    <w:p w14:paraId="3DEC9A2F" w14:textId="77777777" w:rsidR="00352AB8" w:rsidRPr="00EA175D" w:rsidRDefault="00AB42CC" w:rsidP="00EA175D">
      <w:pPr>
        <w:spacing w:line="360" w:lineRule="auto"/>
        <w:ind w:firstLine="567"/>
        <w:jc w:val="both"/>
      </w:pPr>
      <w:r w:rsidRPr="00EA175D">
        <w:t>Графика. Карта на одобрените МИГ в България за програмен период 2014 – 2020 г.</w:t>
      </w:r>
    </w:p>
    <w:p w14:paraId="38E3DC62" w14:textId="77777777" w:rsidR="00AB42CC" w:rsidRPr="00EA175D" w:rsidRDefault="00AB42CC" w:rsidP="00EA175D">
      <w:pPr>
        <w:spacing w:line="360" w:lineRule="auto"/>
        <w:ind w:firstLine="567"/>
        <w:jc w:val="both"/>
        <w:rPr>
          <w:lang w:val="en-GB"/>
        </w:rPr>
      </w:pPr>
      <w:r w:rsidRPr="00EA175D">
        <w:rPr>
          <w:lang w:val="it-IT" w:eastAsia="it-IT"/>
        </w:rPr>
        <w:lastRenderedPageBreak/>
        <w:drawing>
          <wp:inline distT="0" distB="0" distL="0" distR="0" wp14:anchorId="736259E2" wp14:editId="23F72764">
            <wp:extent cx="5387091" cy="3813810"/>
            <wp:effectExtent l="19050" t="19050" r="23495" b="15240"/>
            <wp:docPr id="26" name="Picture 26" descr="D:\LEADER\2014-2020\Implementation CLLD\Приеми\МИГ в България 2014 - 2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LEADER\2014-2020\Implementation CLLD\Приеми\МИГ в България 2014 - 2020.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99463" cy="3822569"/>
                    </a:xfrm>
                    <a:prstGeom prst="rect">
                      <a:avLst/>
                    </a:prstGeom>
                    <a:noFill/>
                    <a:ln>
                      <a:solidFill>
                        <a:schemeClr val="tx1"/>
                      </a:solidFill>
                    </a:ln>
                  </pic:spPr>
                </pic:pic>
              </a:graphicData>
            </a:graphic>
          </wp:inline>
        </w:drawing>
      </w:r>
    </w:p>
    <w:p w14:paraId="188A773E" w14:textId="77777777" w:rsidR="00BB3CA9" w:rsidRPr="00EA175D" w:rsidRDefault="00BB3CA9" w:rsidP="00EA175D">
      <w:pPr>
        <w:spacing w:line="360" w:lineRule="auto"/>
        <w:ind w:firstLine="567"/>
        <w:jc w:val="both"/>
        <w:rPr>
          <w:lang w:val="en-GB"/>
        </w:rPr>
      </w:pPr>
    </w:p>
    <w:p w14:paraId="130D3E9F" w14:textId="77777777" w:rsidR="00156DDA" w:rsidRPr="00EA175D" w:rsidRDefault="00156DDA" w:rsidP="00EA175D">
      <w:pPr>
        <w:spacing w:line="360" w:lineRule="auto"/>
        <w:ind w:firstLine="567"/>
        <w:jc w:val="both"/>
        <w:rPr>
          <w:b/>
        </w:rPr>
      </w:pPr>
      <w:r w:rsidRPr="00EA175D">
        <w:rPr>
          <w:b/>
        </w:rPr>
        <w:t>Заключение</w:t>
      </w:r>
    </w:p>
    <w:p w14:paraId="7E281CF8" w14:textId="77777777" w:rsidR="004A2B09" w:rsidRPr="00EA175D" w:rsidRDefault="00C3285A" w:rsidP="00EA175D">
      <w:pPr>
        <w:spacing w:line="360" w:lineRule="auto"/>
        <w:ind w:firstLine="567"/>
        <w:jc w:val="both"/>
      </w:pPr>
      <w:r w:rsidRPr="00EA175D">
        <w:t>След проведените 2 приема по подмярка 19.2 в България са одобрени и се изпълняват стратегиите за ВОМР на 64 МИГ</w:t>
      </w:r>
      <w:r w:rsidR="00775EEE" w:rsidRPr="00EA175D">
        <w:t xml:space="preserve"> в 117 общини с територия 53 828 кв. км</w:t>
      </w:r>
      <w:r w:rsidRPr="00EA175D">
        <w:t>.</w:t>
      </w:r>
      <w:r w:rsidR="004A2B09" w:rsidRPr="00F77584">
        <w:rPr>
          <w:lang w:val="ru-RU"/>
        </w:rPr>
        <w:t xml:space="preserve"> </w:t>
      </w:r>
      <w:r w:rsidR="004A2B09" w:rsidRPr="00EA175D">
        <w:t xml:space="preserve">По този начин е изпълнен на 107% планираният в ПРСР за периода 2014 – 2020 г. показател по отношение на броя одобрени МИГ (съгласно ПРСР 2014 – 2020 г. броят на МИГ следва да е 60). Покритото от одобрените МИГ население е </w:t>
      </w:r>
      <w:r w:rsidR="00775EEE" w:rsidRPr="00EA175D">
        <w:t>1 646 496 жители, като по този начин е изпълнен на 120% планираният в ПРСР за периода 2014 – 2020 г. показател по отношение на покритото от одобрени МИГ население (съгласно ПРСР 2014 – 2020 г. броят на покритите от МИГ жители следва да е 1 370 000). Изпълнението на двата показателя, заложени за проследяване на подхода ВОМР е много добра атестация за работата на УО на ПРСР 2014 – 2020 г. при програмирането и изпълнението на ПРСР 2014 – 2020 г.</w:t>
      </w:r>
    </w:p>
    <w:p w14:paraId="63EC53AC" w14:textId="77777777" w:rsidR="00185E40" w:rsidRPr="00EA175D" w:rsidRDefault="00156DDA" w:rsidP="00EA175D">
      <w:pPr>
        <w:spacing w:line="360" w:lineRule="auto"/>
        <w:ind w:firstLine="567"/>
        <w:jc w:val="both"/>
      </w:pPr>
      <w:r w:rsidRPr="00EA175D">
        <w:lastRenderedPageBreak/>
        <w:t xml:space="preserve">Първи прием </w:t>
      </w:r>
      <w:r w:rsidR="00185E40" w:rsidRPr="00EA175D">
        <w:t xml:space="preserve">на стратегии по подмярка 19.2 </w:t>
      </w:r>
      <w:r w:rsidRPr="00EA175D">
        <w:t xml:space="preserve">е проведен </w:t>
      </w:r>
      <w:r w:rsidR="00185E40" w:rsidRPr="00EA175D">
        <w:t xml:space="preserve">съгласно условията на </w:t>
      </w:r>
      <w:r w:rsidRPr="00EA175D">
        <w:t xml:space="preserve"> Наредба </w:t>
      </w:r>
      <w:r w:rsidR="00185E40" w:rsidRPr="00EA175D">
        <w:t xml:space="preserve">№ </w:t>
      </w:r>
      <w:r w:rsidRPr="00EA175D">
        <w:t>22</w:t>
      </w:r>
      <w:r w:rsidR="00185E40" w:rsidRPr="00EA175D">
        <w:t>, като по този начин от страна на УО на ПРСР 2014 – 2020 г. е спазено изискването на Регламент (ЕС) 1303</w:t>
      </w:r>
      <w:r w:rsidR="00185E40" w:rsidRPr="00F77584">
        <w:rPr>
          <w:lang w:val="ru-RU"/>
        </w:rPr>
        <w:t>/</w:t>
      </w:r>
      <w:r w:rsidR="00185E40" w:rsidRPr="00EA175D">
        <w:t xml:space="preserve">2013 относно крайния срок за одобрение на първите стратегии за ВОМР, цитиран по-горе в текста на настоящата оценка. Следва да се има предвид и съдействието на останалите УО за откриване и успешното провеждане на приема на стратегии. УО на оперативните програми са създали необходимите условия за предоставяне на информация и подкрепа на кандидатите по приема като по този начин са гарантирали неговото успешно провеждане. </w:t>
      </w:r>
    </w:p>
    <w:p w14:paraId="7C52D7CE" w14:textId="16796468" w:rsidR="00DC1EB0" w:rsidRPr="00EA175D" w:rsidRDefault="00185E40" w:rsidP="00EA175D">
      <w:pPr>
        <w:spacing w:line="360" w:lineRule="auto"/>
        <w:ind w:firstLine="567"/>
        <w:jc w:val="both"/>
      </w:pPr>
      <w:r w:rsidRPr="00EA175D">
        <w:t>В</w:t>
      </w:r>
      <w:r w:rsidR="00156DDA" w:rsidRPr="00EA175D">
        <w:t>тори</w:t>
      </w:r>
      <w:r w:rsidRPr="00EA175D">
        <w:t>ят прием по подмярка 19.2 се провежда по условията на</w:t>
      </w:r>
      <w:r w:rsidR="00156DDA" w:rsidRPr="00EA175D">
        <w:t xml:space="preserve"> ПМС </w:t>
      </w:r>
      <w:r w:rsidRPr="00EA175D">
        <w:t xml:space="preserve">№ 161 и ЗУСЕСИФ, като за първи път по </w:t>
      </w:r>
      <w:r w:rsidR="00156DDA" w:rsidRPr="00EA175D">
        <w:t xml:space="preserve">ПРСР </w:t>
      </w:r>
      <w:r w:rsidRPr="00EA175D">
        <w:t xml:space="preserve">2014 – 2020 г. стратегии се подават </w:t>
      </w:r>
      <w:r w:rsidR="00156DDA" w:rsidRPr="00EA175D">
        <w:t>в ИСУН</w:t>
      </w:r>
      <w:r w:rsidRPr="00EA175D">
        <w:t xml:space="preserve">. </w:t>
      </w:r>
      <w:r w:rsidR="00DC1EB0" w:rsidRPr="00EA175D">
        <w:t xml:space="preserve">УО на ПРСР 2014 – 2020 г. </w:t>
      </w:r>
      <w:r w:rsidR="00156DDA" w:rsidRPr="00EA175D">
        <w:t xml:space="preserve">е създал необходимата организация за провеждане на </w:t>
      </w:r>
      <w:r w:rsidR="00DC1EB0" w:rsidRPr="00EA175D">
        <w:t>приема при спазване на крайния срок за избор на стратегии за ВОМР съгласно Регламент (ЕС) 1303</w:t>
      </w:r>
      <w:r w:rsidR="00DC1EB0" w:rsidRPr="00F77584">
        <w:rPr>
          <w:lang w:val="ru-RU"/>
        </w:rPr>
        <w:t>/</w:t>
      </w:r>
      <w:r w:rsidR="00DC1EB0" w:rsidRPr="00EA175D">
        <w:t>2013 – до края на 2017 г. УО на оперативните програми отново са оказали необходимото съдействие и подкрепа, както на УО на ПРСР 2014 – 2020 г., така и на кандидати</w:t>
      </w:r>
      <w:r w:rsidR="0030369F">
        <w:t>т</w:t>
      </w:r>
      <w:r w:rsidR="00DC1EB0" w:rsidRPr="00EA175D">
        <w:t xml:space="preserve">е, с което са допринесли значително за успешното провеждане на приема. Изготвената схема на прилагане на многофондовото финансиране на подхода ВОМР, с участието на всички УО на финансиращи програми, преди откриването на приема се оказва решаващо за повишаване на доверието в този вид финансиране. Подадените и одобрени по втория прием многофондови стратегии са значително повече от тези по първи прием. От значение е и включването на ОПНОИР във втория прием, но следва да се има предвид, че ефектът от участието на тази програма още на първия прием би бил по-осезаем. Като най-желани за включване в стратегиите се открояват интервенциите по ОПИК и ОПРЧР, което е свидетелство за много добра подготовка на съответните УО и за много добро изследване на нуждите на МИГ от видовете подкрепа. </w:t>
      </w:r>
    </w:p>
    <w:p w14:paraId="112DF060" w14:textId="77777777" w:rsidR="00D72F76" w:rsidRPr="00EA175D" w:rsidRDefault="00DC1EB0" w:rsidP="00EA175D">
      <w:pPr>
        <w:spacing w:line="360" w:lineRule="auto"/>
        <w:ind w:firstLine="567"/>
        <w:jc w:val="both"/>
      </w:pPr>
      <w:r w:rsidRPr="00EA175D">
        <w:t xml:space="preserve">Бидейки определящ за броя на одобрените стратегии ЕЗФРСР, финансиращ дейностите по ПРСР 2014 – 2020 г., ограничава броя на одобрените стратегии. Въпреки това се забелязва, че при пълното договаряне на средствата по ПРСР 2014 – 2020 г. по останалите програми остават значителни недоговорени средства. Това се дължи на недостатъчното включване на финансиране от тези програми в стратегиите за ВОМР. От </w:t>
      </w:r>
      <w:r w:rsidRPr="00EA175D">
        <w:lastRenderedPageBreak/>
        <w:t xml:space="preserve">64 одобрени стратегии 39 са многофондови и 25 са еднофондови. </w:t>
      </w:r>
      <w:r w:rsidR="00714A54" w:rsidRPr="00EA175D">
        <w:t xml:space="preserve">След неубедителното кандидатстване за многофондови стратегии по първия прием на стратегии по подмярка 19.2 по втория се регистрира много по-голям интерес към изпълнение на многофондови стратегии. За съжаление е пропусната възможността по първия прием да има повече договорени средства по другите фондове и така местните общности на територията на 20 МИГ са лишени от допълнително финансиране. По първия прием са договорени само 58% от разполагаемите средства, а се изчерпват само тези по ПРСР. По ОПИК и ОПРЧР договарянето е около 40 и по-малко %, а по ОПОС – само 8,75%! </w:t>
      </w:r>
    </w:p>
    <w:p w14:paraId="2A6B5424" w14:textId="77777777" w:rsidR="00D72F76" w:rsidRPr="00EA175D" w:rsidRDefault="00D72F76" w:rsidP="00EA175D">
      <w:pPr>
        <w:spacing w:line="360" w:lineRule="auto"/>
        <w:ind w:firstLine="567"/>
        <w:jc w:val="both"/>
      </w:pPr>
      <w:r w:rsidRPr="00EA175D">
        <w:t>Талица. Данни за договарянето на средствата по първи и втори прием по подмярка 19.2.</w:t>
      </w:r>
    </w:p>
    <w:tbl>
      <w:tblPr>
        <w:tblStyle w:val="aa"/>
        <w:tblW w:w="0" w:type="auto"/>
        <w:tblLook w:val="04A0" w:firstRow="1" w:lastRow="0" w:firstColumn="1" w:lastColumn="0" w:noHBand="0" w:noVBand="1"/>
      </w:tblPr>
      <w:tblGrid>
        <w:gridCol w:w="2802"/>
        <w:gridCol w:w="2409"/>
        <w:gridCol w:w="2127"/>
        <w:gridCol w:w="2091"/>
      </w:tblGrid>
      <w:tr w:rsidR="00D72F76" w:rsidRPr="00EA175D" w14:paraId="0D48AF01" w14:textId="77777777" w:rsidTr="00D72F76">
        <w:tc>
          <w:tcPr>
            <w:tcW w:w="2802" w:type="dxa"/>
          </w:tcPr>
          <w:p w14:paraId="7287A492" w14:textId="77777777" w:rsidR="00D72F76" w:rsidRPr="00EA175D" w:rsidRDefault="00D72F76" w:rsidP="00EA175D">
            <w:pPr>
              <w:spacing w:line="360" w:lineRule="auto"/>
              <w:jc w:val="both"/>
            </w:pPr>
            <w:r w:rsidRPr="00EA175D">
              <w:t>Финансираща програма</w:t>
            </w:r>
          </w:p>
        </w:tc>
        <w:tc>
          <w:tcPr>
            <w:tcW w:w="2409" w:type="dxa"/>
          </w:tcPr>
          <w:p w14:paraId="58C1576B" w14:textId="77777777" w:rsidR="00D72F76" w:rsidRPr="00EA175D" w:rsidRDefault="00D72F76" w:rsidP="00EA175D">
            <w:pPr>
              <w:spacing w:line="360" w:lineRule="auto"/>
              <w:jc w:val="both"/>
            </w:pPr>
            <w:r w:rsidRPr="00EA175D">
              <w:t>Разполагаем бюджет, евро</w:t>
            </w:r>
          </w:p>
        </w:tc>
        <w:tc>
          <w:tcPr>
            <w:tcW w:w="2127" w:type="dxa"/>
          </w:tcPr>
          <w:p w14:paraId="0C4390BF" w14:textId="77777777" w:rsidR="00D72F76" w:rsidRPr="00EA175D" w:rsidRDefault="00D72F76" w:rsidP="00EA175D">
            <w:pPr>
              <w:spacing w:line="360" w:lineRule="auto"/>
              <w:jc w:val="both"/>
            </w:pPr>
            <w:r w:rsidRPr="00EA175D">
              <w:t>Договорен бюджет, евро</w:t>
            </w:r>
          </w:p>
        </w:tc>
        <w:tc>
          <w:tcPr>
            <w:tcW w:w="2091" w:type="dxa"/>
          </w:tcPr>
          <w:p w14:paraId="17149FF1" w14:textId="77777777" w:rsidR="00D72F76" w:rsidRPr="00EA175D" w:rsidRDefault="00D72F76" w:rsidP="00EA175D">
            <w:pPr>
              <w:spacing w:line="360" w:lineRule="auto"/>
              <w:jc w:val="both"/>
            </w:pPr>
            <w:r w:rsidRPr="00EA175D">
              <w:t xml:space="preserve">Съотношение </w:t>
            </w:r>
          </w:p>
        </w:tc>
      </w:tr>
      <w:tr w:rsidR="00100322" w:rsidRPr="00EA175D" w14:paraId="29D24831" w14:textId="77777777" w:rsidTr="00046B24">
        <w:trPr>
          <w:trHeight w:val="94"/>
        </w:trPr>
        <w:tc>
          <w:tcPr>
            <w:tcW w:w="2802" w:type="dxa"/>
          </w:tcPr>
          <w:p w14:paraId="386E73A9" w14:textId="77777777" w:rsidR="00100322" w:rsidRPr="00EA175D" w:rsidRDefault="00100322" w:rsidP="00EA175D">
            <w:pPr>
              <w:spacing w:line="360" w:lineRule="auto"/>
              <w:jc w:val="both"/>
              <w:rPr>
                <w:lang w:val="en-GB"/>
              </w:rPr>
            </w:pPr>
            <w:r w:rsidRPr="00EA175D">
              <w:t>ПРСР 2014 – 2020 г.</w:t>
            </w:r>
            <w:r w:rsidRPr="00EA175D">
              <w:rPr>
                <w:lang w:val="en-GB"/>
              </w:rPr>
              <w:t>*</w:t>
            </w:r>
          </w:p>
        </w:tc>
        <w:tc>
          <w:tcPr>
            <w:tcW w:w="2409" w:type="dxa"/>
          </w:tcPr>
          <w:p w14:paraId="0057DA03" w14:textId="77777777" w:rsidR="00100322" w:rsidRPr="00EA175D" w:rsidRDefault="00100322" w:rsidP="00EA175D">
            <w:pPr>
              <w:spacing w:line="360" w:lineRule="auto"/>
              <w:jc w:val="both"/>
            </w:pPr>
            <w:r w:rsidRPr="00EA175D">
              <w:t>122 215 925</w:t>
            </w:r>
          </w:p>
        </w:tc>
        <w:tc>
          <w:tcPr>
            <w:tcW w:w="2127" w:type="dxa"/>
          </w:tcPr>
          <w:p w14:paraId="455360BC" w14:textId="77777777" w:rsidR="00100322" w:rsidRPr="00EA175D" w:rsidRDefault="00100322" w:rsidP="00EA175D">
            <w:pPr>
              <w:spacing w:line="360" w:lineRule="auto"/>
              <w:jc w:val="both"/>
            </w:pPr>
            <w:r w:rsidRPr="00EA175D">
              <w:t>121 845 266</w:t>
            </w:r>
          </w:p>
        </w:tc>
        <w:tc>
          <w:tcPr>
            <w:tcW w:w="2091" w:type="dxa"/>
            <w:vAlign w:val="bottom"/>
          </w:tcPr>
          <w:p w14:paraId="2AB2D641" w14:textId="77777777" w:rsidR="00100322" w:rsidRPr="00EA175D" w:rsidRDefault="00EF5B81" w:rsidP="00EA175D">
            <w:pPr>
              <w:spacing w:line="360" w:lineRule="auto"/>
              <w:jc w:val="both"/>
            </w:pPr>
            <w:r w:rsidRPr="00EA175D">
              <w:t>99,</w:t>
            </w:r>
            <w:r w:rsidR="00100322" w:rsidRPr="00EA175D">
              <w:t>70%</w:t>
            </w:r>
          </w:p>
        </w:tc>
      </w:tr>
      <w:tr w:rsidR="00100322" w:rsidRPr="00EA175D" w14:paraId="096C7742" w14:textId="77777777" w:rsidTr="00046B24">
        <w:tc>
          <w:tcPr>
            <w:tcW w:w="2802" w:type="dxa"/>
          </w:tcPr>
          <w:p w14:paraId="03284BB5" w14:textId="77777777" w:rsidR="00100322" w:rsidRPr="00EA175D" w:rsidRDefault="00100322" w:rsidP="00EA175D">
            <w:pPr>
              <w:spacing w:line="360" w:lineRule="auto"/>
              <w:jc w:val="both"/>
            </w:pPr>
            <w:r w:rsidRPr="00EA175D">
              <w:t>ОПИК 2014 – 2020 г.</w:t>
            </w:r>
          </w:p>
        </w:tc>
        <w:tc>
          <w:tcPr>
            <w:tcW w:w="2409" w:type="dxa"/>
          </w:tcPr>
          <w:p w14:paraId="3BED124E" w14:textId="77777777" w:rsidR="00100322" w:rsidRPr="00EA175D" w:rsidRDefault="00100322" w:rsidP="00EA175D">
            <w:pPr>
              <w:spacing w:line="360" w:lineRule="auto"/>
              <w:jc w:val="both"/>
            </w:pPr>
            <w:r w:rsidRPr="00EA175D">
              <w:t>53 980 776</w:t>
            </w:r>
          </w:p>
        </w:tc>
        <w:tc>
          <w:tcPr>
            <w:tcW w:w="2127" w:type="dxa"/>
            <w:vAlign w:val="bottom"/>
          </w:tcPr>
          <w:p w14:paraId="10E412FB" w14:textId="77777777" w:rsidR="00100322" w:rsidRPr="00EA175D" w:rsidRDefault="00100322" w:rsidP="00EA175D">
            <w:pPr>
              <w:spacing w:line="360" w:lineRule="auto"/>
              <w:jc w:val="both"/>
            </w:pPr>
            <w:r w:rsidRPr="00EA175D">
              <w:t>29 293 660</w:t>
            </w:r>
          </w:p>
        </w:tc>
        <w:tc>
          <w:tcPr>
            <w:tcW w:w="2091" w:type="dxa"/>
            <w:vAlign w:val="bottom"/>
          </w:tcPr>
          <w:p w14:paraId="18B8ED18" w14:textId="77777777" w:rsidR="00100322" w:rsidRPr="00EA175D" w:rsidRDefault="00EF5B81" w:rsidP="00EA175D">
            <w:pPr>
              <w:spacing w:line="360" w:lineRule="auto"/>
              <w:jc w:val="both"/>
            </w:pPr>
            <w:r w:rsidRPr="00EA175D">
              <w:t>54,</w:t>
            </w:r>
            <w:r w:rsidR="00100322" w:rsidRPr="00EA175D">
              <w:t>27%</w:t>
            </w:r>
          </w:p>
        </w:tc>
      </w:tr>
      <w:tr w:rsidR="00100322" w:rsidRPr="00EA175D" w14:paraId="534758BF" w14:textId="77777777" w:rsidTr="00046B24">
        <w:tc>
          <w:tcPr>
            <w:tcW w:w="2802" w:type="dxa"/>
          </w:tcPr>
          <w:p w14:paraId="2127C1AC" w14:textId="77777777" w:rsidR="00100322" w:rsidRPr="00EA175D" w:rsidRDefault="00100322" w:rsidP="00EA175D">
            <w:pPr>
              <w:spacing w:line="360" w:lineRule="auto"/>
              <w:jc w:val="both"/>
            </w:pPr>
            <w:r w:rsidRPr="00EA175D">
              <w:t>ОПРЧР 2014 – 2020 г.</w:t>
            </w:r>
          </w:p>
        </w:tc>
        <w:tc>
          <w:tcPr>
            <w:tcW w:w="2409" w:type="dxa"/>
          </w:tcPr>
          <w:p w14:paraId="0D3D9AC9" w14:textId="77777777" w:rsidR="00100322" w:rsidRPr="00EA175D" w:rsidRDefault="00100322" w:rsidP="00EA175D">
            <w:pPr>
              <w:spacing w:line="360" w:lineRule="auto"/>
              <w:jc w:val="both"/>
            </w:pPr>
            <w:r w:rsidRPr="00EA175D">
              <w:t>49 749 189</w:t>
            </w:r>
          </w:p>
        </w:tc>
        <w:tc>
          <w:tcPr>
            <w:tcW w:w="2127" w:type="dxa"/>
            <w:vAlign w:val="bottom"/>
          </w:tcPr>
          <w:p w14:paraId="0F67C672" w14:textId="77777777" w:rsidR="00100322" w:rsidRPr="00EA175D" w:rsidRDefault="00100322" w:rsidP="00EA175D">
            <w:pPr>
              <w:spacing w:line="360" w:lineRule="auto"/>
              <w:jc w:val="both"/>
            </w:pPr>
            <w:r w:rsidRPr="00EA175D">
              <w:t>23 174 263</w:t>
            </w:r>
          </w:p>
        </w:tc>
        <w:tc>
          <w:tcPr>
            <w:tcW w:w="2091" w:type="dxa"/>
            <w:vAlign w:val="bottom"/>
          </w:tcPr>
          <w:p w14:paraId="1B34CA73" w14:textId="77777777" w:rsidR="00100322" w:rsidRPr="00EA175D" w:rsidRDefault="00EF5B81" w:rsidP="00EA175D">
            <w:pPr>
              <w:spacing w:line="360" w:lineRule="auto"/>
              <w:jc w:val="both"/>
            </w:pPr>
            <w:r w:rsidRPr="00EA175D">
              <w:t>46,</w:t>
            </w:r>
            <w:r w:rsidR="00100322" w:rsidRPr="00EA175D">
              <w:t>58%</w:t>
            </w:r>
          </w:p>
        </w:tc>
      </w:tr>
      <w:tr w:rsidR="00100322" w:rsidRPr="00EA175D" w14:paraId="477476B7" w14:textId="77777777" w:rsidTr="00046B24">
        <w:tc>
          <w:tcPr>
            <w:tcW w:w="2802" w:type="dxa"/>
          </w:tcPr>
          <w:p w14:paraId="73246F5A" w14:textId="77777777" w:rsidR="00100322" w:rsidRPr="00EA175D" w:rsidRDefault="00100322" w:rsidP="00EA175D">
            <w:pPr>
              <w:spacing w:line="360" w:lineRule="auto"/>
              <w:jc w:val="both"/>
            </w:pPr>
            <w:r w:rsidRPr="00EA175D">
              <w:t>ОПОС 2014 – 2020 г.</w:t>
            </w:r>
          </w:p>
        </w:tc>
        <w:tc>
          <w:tcPr>
            <w:tcW w:w="2409" w:type="dxa"/>
          </w:tcPr>
          <w:p w14:paraId="57D0B2F9" w14:textId="77777777" w:rsidR="00100322" w:rsidRPr="00EA175D" w:rsidRDefault="00100322" w:rsidP="00EA175D">
            <w:pPr>
              <w:spacing w:line="360" w:lineRule="auto"/>
              <w:jc w:val="both"/>
            </w:pPr>
            <w:r w:rsidRPr="00EA175D">
              <w:t>19 458 660</w:t>
            </w:r>
          </w:p>
        </w:tc>
        <w:tc>
          <w:tcPr>
            <w:tcW w:w="2127" w:type="dxa"/>
            <w:vAlign w:val="bottom"/>
          </w:tcPr>
          <w:p w14:paraId="7C6EEE38" w14:textId="77777777" w:rsidR="00100322" w:rsidRPr="00EA175D" w:rsidRDefault="00100322" w:rsidP="00EA175D">
            <w:pPr>
              <w:spacing w:line="360" w:lineRule="auto"/>
              <w:jc w:val="both"/>
            </w:pPr>
            <w:r w:rsidRPr="00EA175D">
              <w:t>6 888 450</w:t>
            </w:r>
          </w:p>
        </w:tc>
        <w:tc>
          <w:tcPr>
            <w:tcW w:w="2091" w:type="dxa"/>
            <w:vAlign w:val="bottom"/>
          </w:tcPr>
          <w:p w14:paraId="46B5CC89" w14:textId="77777777" w:rsidR="00100322" w:rsidRPr="00EA175D" w:rsidRDefault="00EF5B81" w:rsidP="00EA175D">
            <w:pPr>
              <w:spacing w:line="360" w:lineRule="auto"/>
              <w:jc w:val="both"/>
            </w:pPr>
            <w:r w:rsidRPr="00EA175D">
              <w:t>35,</w:t>
            </w:r>
            <w:r w:rsidR="00100322" w:rsidRPr="00EA175D">
              <w:t>40%</w:t>
            </w:r>
          </w:p>
        </w:tc>
      </w:tr>
      <w:tr w:rsidR="00100322" w:rsidRPr="00EA175D" w14:paraId="07BAC30A" w14:textId="77777777" w:rsidTr="00046B24">
        <w:tc>
          <w:tcPr>
            <w:tcW w:w="2802" w:type="dxa"/>
          </w:tcPr>
          <w:p w14:paraId="59FB273E" w14:textId="77777777" w:rsidR="00100322" w:rsidRPr="00EA175D" w:rsidRDefault="00100322" w:rsidP="00EA175D">
            <w:pPr>
              <w:spacing w:line="360" w:lineRule="auto"/>
              <w:jc w:val="both"/>
            </w:pPr>
            <w:r w:rsidRPr="00EA175D">
              <w:t>ОПНОИР 2014 – 2020 г.</w:t>
            </w:r>
          </w:p>
        </w:tc>
        <w:tc>
          <w:tcPr>
            <w:tcW w:w="2409" w:type="dxa"/>
          </w:tcPr>
          <w:p w14:paraId="131D4A6C" w14:textId="77777777" w:rsidR="00100322" w:rsidRPr="00EA175D" w:rsidRDefault="00100322" w:rsidP="00EA175D">
            <w:pPr>
              <w:spacing w:line="360" w:lineRule="auto"/>
              <w:jc w:val="both"/>
            </w:pPr>
            <w:r w:rsidRPr="00EA175D">
              <w:t>40 903 350</w:t>
            </w:r>
          </w:p>
        </w:tc>
        <w:tc>
          <w:tcPr>
            <w:tcW w:w="2127" w:type="dxa"/>
            <w:vAlign w:val="bottom"/>
          </w:tcPr>
          <w:p w14:paraId="65BCBCFE" w14:textId="77777777" w:rsidR="00100322" w:rsidRPr="00EA175D" w:rsidRDefault="00100322" w:rsidP="00EA175D">
            <w:pPr>
              <w:spacing w:line="360" w:lineRule="auto"/>
              <w:jc w:val="both"/>
            </w:pPr>
            <w:r w:rsidRPr="00EA175D">
              <w:t>5 191 551</w:t>
            </w:r>
          </w:p>
        </w:tc>
        <w:tc>
          <w:tcPr>
            <w:tcW w:w="2091" w:type="dxa"/>
            <w:vAlign w:val="bottom"/>
          </w:tcPr>
          <w:p w14:paraId="14AB391D" w14:textId="77777777" w:rsidR="00100322" w:rsidRPr="00EA175D" w:rsidRDefault="00EF5B81" w:rsidP="00EA175D">
            <w:pPr>
              <w:spacing w:line="360" w:lineRule="auto"/>
              <w:jc w:val="both"/>
            </w:pPr>
            <w:r w:rsidRPr="00EA175D">
              <w:t>12,</w:t>
            </w:r>
            <w:r w:rsidR="00100322" w:rsidRPr="00EA175D">
              <w:t>69%</w:t>
            </w:r>
          </w:p>
        </w:tc>
      </w:tr>
      <w:tr w:rsidR="00100322" w:rsidRPr="00EA175D" w14:paraId="40D4C734" w14:textId="77777777" w:rsidTr="00046B24">
        <w:tc>
          <w:tcPr>
            <w:tcW w:w="2802" w:type="dxa"/>
          </w:tcPr>
          <w:p w14:paraId="22D8FE46" w14:textId="77777777" w:rsidR="00100322" w:rsidRPr="00EA175D" w:rsidRDefault="00100322" w:rsidP="00EA175D">
            <w:pPr>
              <w:spacing w:line="360" w:lineRule="auto"/>
              <w:jc w:val="both"/>
              <w:rPr>
                <w:lang w:val="en-GB"/>
              </w:rPr>
            </w:pPr>
            <w:r w:rsidRPr="00EA175D">
              <w:t>Общо</w:t>
            </w:r>
            <w:r w:rsidRPr="00EA175D">
              <w:rPr>
                <w:lang w:val="en-GB"/>
              </w:rPr>
              <w:t>**</w:t>
            </w:r>
          </w:p>
        </w:tc>
        <w:tc>
          <w:tcPr>
            <w:tcW w:w="2409" w:type="dxa"/>
          </w:tcPr>
          <w:p w14:paraId="799F7A46" w14:textId="77777777" w:rsidR="00100322" w:rsidRPr="00EA175D" w:rsidRDefault="009F6A4F" w:rsidP="00EA175D">
            <w:pPr>
              <w:spacing w:line="360" w:lineRule="auto"/>
              <w:jc w:val="both"/>
            </w:pPr>
            <w:r w:rsidRPr="00EA175D">
              <w:t>286 307 900</w:t>
            </w:r>
          </w:p>
        </w:tc>
        <w:tc>
          <w:tcPr>
            <w:tcW w:w="2127" w:type="dxa"/>
          </w:tcPr>
          <w:p w14:paraId="7622CE21" w14:textId="77777777" w:rsidR="00100322" w:rsidRPr="00EA175D" w:rsidRDefault="009F6A4F" w:rsidP="00EA175D">
            <w:pPr>
              <w:spacing w:line="360" w:lineRule="auto"/>
              <w:jc w:val="both"/>
            </w:pPr>
            <w:r w:rsidRPr="00EA175D">
              <w:t>186 393 190</w:t>
            </w:r>
          </w:p>
        </w:tc>
        <w:tc>
          <w:tcPr>
            <w:tcW w:w="2091" w:type="dxa"/>
            <w:vAlign w:val="bottom"/>
          </w:tcPr>
          <w:p w14:paraId="304ACE30" w14:textId="77777777" w:rsidR="00100322" w:rsidRPr="00EA175D" w:rsidRDefault="009F6A4F" w:rsidP="00EA175D">
            <w:pPr>
              <w:spacing w:line="360" w:lineRule="auto"/>
              <w:jc w:val="both"/>
            </w:pPr>
            <w:r w:rsidRPr="00EA175D">
              <w:t>65</w:t>
            </w:r>
            <w:r w:rsidRPr="00EA175D">
              <w:rPr>
                <w:lang w:val="en-GB"/>
              </w:rPr>
              <w:t>,</w:t>
            </w:r>
            <w:r w:rsidRPr="00EA175D">
              <w:t>10%</w:t>
            </w:r>
          </w:p>
        </w:tc>
      </w:tr>
    </w:tbl>
    <w:p w14:paraId="3DEADF78" w14:textId="77777777" w:rsidR="00346F3F" w:rsidRPr="00EA175D" w:rsidRDefault="00346F3F" w:rsidP="00EA175D">
      <w:pPr>
        <w:spacing w:line="360" w:lineRule="auto"/>
        <w:ind w:firstLine="567"/>
        <w:jc w:val="both"/>
        <w:rPr>
          <w:u w:val="single"/>
        </w:rPr>
      </w:pPr>
      <w:r w:rsidRPr="00F77584">
        <w:rPr>
          <w:u w:val="single"/>
          <w:lang w:val="ru-RU"/>
        </w:rPr>
        <w:t>*</w:t>
      </w:r>
      <w:r w:rsidRPr="00EA175D">
        <w:rPr>
          <w:u w:val="single"/>
        </w:rPr>
        <w:t>Забележка: бюджетът по ПРСР 2014 – 2020 г. включва договорените средства по подмярка 19.2 (за проекти) и подмярка 19.4 (за управление на МИГ и популяризиране на стратегиите за ВОМР).</w:t>
      </w:r>
    </w:p>
    <w:p w14:paraId="768BE6AB" w14:textId="77777777" w:rsidR="00D72F76" w:rsidRPr="00EA175D" w:rsidRDefault="00346F3F" w:rsidP="00EA175D">
      <w:pPr>
        <w:spacing w:line="360" w:lineRule="auto"/>
        <w:ind w:firstLine="567"/>
        <w:jc w:val="both"/>
      </w:pPr>
      <w:r w:rsidRPr="00F77584">
        <w:rPr>
          <w:u w:val="single"/>
          <w:lang w:val="ru-RU"/>
        </w:rPr>
        <w:t>**</w:t>
      </w:r>
      <w:r w:rsidRPr="00EA175D">
        <w:rPr>
          <w:u w:val="single"/>
        </w:rPr>
        <w:t>Забележка – общата стойност е взета като абсолютна стойност, без да отчита отделните фондове.</w:t>
      </w:r>
    </w:p>
    <w:p w14:paraId="701D136C" w14:textId="4A0DB4EF" w:rsidR="00D72F76" w:rsidRPr="00EA175D" w:rsidRDefault="00A27AB7" w:rsidP="00EA175D">
      <w:pPr>
        <w:spacing w:line="360" w:lineRule="auto"/>
        <w:ind w:firstLine="567"/>
        <w:jc w:val="both"/>
      </w:pPr>
      <w:r w:rsidRPr="00EA175D">
        <w:t>От представената в таблицата информация е видно, че единствено по ПРСР 2014 – 2020 г. е договорен пълния размер на средствата по подхода ВОМР. Завишеният интерес към многофондовото финансиране по втория прием пов</w:t>
      </w:r>
      <w:r w:rsidR="00E04ED0" w:rsidRPr="00EA175D">
        <w:t>и</w:t>
      </w:r>
      <w:r w:rsidRPr="00EA175D">
        <w:t xml:space="preserve">шава стойностите на договоряне по останалите програми, финансиращи подхода, но все пак нивата на договаряне са сравнително ниски. </w:t>
      </w:r>
      <w:r w:rsidR="00E04ED0" w:rsidRPr="00EA175D">
        <w:t xml:space="preserve">Като най-интересни за местните общности се очертават ОПИК и ОПРЧР, с нива на договаряне от около 50%, което също означава, че </w:t>
      </w:r>
      <w:r w:rsidR="00E04ED0" w:rsidRPr="00EA175D">
        <w:lastRenderedPageBreak/>
        <w:t>голям ресурс остава далеч от местните общности. Въпреки, че общото ниво на договаряне по ОПОС се повишава в сравнение с регистрираното по първи прием, не може да се приеме, че е дори средно. По ОПНОИР се регистрира най-ниското ниво на договаряне, за което спомага и отсъствието на финансиране по тази програма за кандидатите по първи прием по подмярка 19.2.</w:t>
      </w:r>
    </w:p>
    <w:p w14:paraId="267F0641" w14:textId="77777777" w:rsidR="00DC1EB0" w:rsidRPr="00EA175D" w:rsidRDefault="00E04ED0" w:rsidP="00EA175D">
      <w:pPr>
        <w:spacing w:line="360" w:lineRule="auto"/>
        <w:ind w:firstLine="567"/>
        <w:jc w:val="both"/>
      </w:pPr>
      <w:r w:rsidRPr="00EA175D">
        <w:t xml:space="preserve">В случай, че </w:t>
      </w:r>
      <w:r w:rsidR="00DC1EB0" w:rsidRPr="00EA175D">
        <w:t>по-голямата част от еднофондовите стратегии бяха включили още по една или повече финансиращи програми, много по-голям обем от средства биха били на разположение на съответните територии. От една страна получените резултати се дължат на прилагането на многофондовото финансиране за пръв път в България и от друга страна на закъснялото му представяне и неяснотите около структурата на неговото прилагане преди първия прием на стратегии по подмярка 19.2. Тези основни изводи следва да се имат предвид от страна на всички УО, участващи във финансирането на подхода ВОМР при неговото прилагане през програмния период 2021 –</w:t>
      </w:r>
      <w:r w:rsidR="00714A54" w:rsidRPr="00EA175D">
        <w:t xml:space="preserve"> 2027 г., за да се избегнат някои от незадоволителните резултати, получени през програмен период 2014 – 2020 г.</w:t>
      </w:r>
      <w:r w:rsidR="00DC1EB0" w:rsidRPr="00EA175D">
        <w:t xml:space="preserve">  </w:t>
      </w:r>
    </w:p>
    <w:p w14:paraId="721FB45E" w14:textId="77777777" w:rsidR="008239BF" w:rsidRPr="00EA175D" w:rsidRDefault="008239BF" w:rsidP="00EA175D">
      <w:pPr>
        <w:spacing w:line="360" w:lineRule="auto"/>
        <w:ind w:firstLine="567"/>
        <w:jc w:val="both"/>
      </w:pPr>
    </w:p>
    <w:p w14:paraId="4557624C" w14:textId="77777777" w:rsidR="008239BF" w:rsidRPr="00EA175D" w:rsidRDefault="00714A54" w:rsidP="00EA175D">
      <w:pPr>
        <w:pStyle w:val="1"/>
        <w:numPr>
          <w:ilvl w:val="2"/>
          <w:numId w:val="1"/>
        </w:numPr>
        <w:tabs>
          <w:tab w:val="left" w:pos="993"/>
        </w:tabs>
        <w:spacing w:before="0" w:line="360" w:lineRule="auto"/>
        <w:ind w:left="0" w:firstLine="567"/>
        <w:jc w:val="both"/>
        <w:rPr>
          <w:rFonts w:ascii="Times New Roman" w:eastAsia="Calibri" w:hAnsi="Times New Roman" w:cs="Times New Roman"/>
          <w:bCs w:val="0"/>
          <w:color w:val="auto"/>
          <w:sz w:val="24"/>
          <w:szCs w:val="24"/>
        </w:rPr>
      </w:pPr>
      <w:bookmarkStart w:id="29" w:name="_Toc93489782"/>
      <w:r w:rsidRPr="00EA175D">
        <w:rPr>
          <w:rFonts w:ascii="Times New Roman" w:eastAsia="Calibri" w:hAnsi="Times New Roman" w:cs="Times New Roman"/>
          <w:bCs w:val="0"/>
          <w:color w:val="auto"/>
          <w:sz w:val="24"/>
          <w:szCs w:val="24"/>
        </w:rPr>
        <w:t>Д</w:t>
      </w:r>
      <w:r w:rsidR="008239BF" w:rsidRPr="00EA175D">
        <w:rPr>
          <w:rFonts w:ascii="Times New Roman" w:eastAsia="Calibri" w:hAnsi="Times New Roman" w:cs="Times New Roman"/>
          <w:bCs w:val="0"/>
          <w:color w:val="auto"/>
          <w:sz w:val="24"/>
          <w:szCs w:val="24"/>
        </w:rPr>
        <w:t>оговаряне по подхода ВОМР – открити приеми, одобрени от МИГ проекти, сключени договори</w:t>
      </w:r>
      <w:bookmarkEnd w:id="29"/>
    </w:p>
    <w:p w14:paraId="4462EA08" w14:textId="0AE315C9" w:rsidR="00A73E2D" w:rsidRPr="00EA175D" w:rsidRDefault="00C81997" w:rsidP="00EA175D">
      <w:pPr>
        <w:spacing w:line="360" w:lineRule="auto"/>
        <w:ind w:firstLine="567"/>
        <w:jc w:val="both"/>
      </w:pPr>
      <w:r w:rsidRPr="00EA175D">
        <w:t xml:space="preserve">Същинското прилагане на подхода ВОМР се състои от 2 основни етапа – одобрение на стратегии за ВОМР и последващо сключване на договори към крайни бенефициенти на стратегиите за ВОМР. </w:t>
      </w:r>
      <w:r w:rsidR="00CB1DBC" w:rsidRPr="00EA175D">
        <w:t xml:space="preserve">В тази част на настоящата оценка е събрана и обработена информация относно процеса на договаряне на проекти към стратегиите за ВОМР по всички финансиращи програми. </w:t>
      </w:r>
      <w:r w:rsidR="00A73E2D" w:rsidRPr="00EA175D">
        <w:t>За договаряне на средствата по стратегиите за ВОМР МИГ разработват процедури за прием и подбор на проектни предложения, включващи процеса от обявяване до приключване на оценката на постъпилите проектни предложения. При из</w:t>
      </w:r>
      <w:r w:rsidR="0030369F">
        <w:t>го</w:t>
      </w:r>
      <w:r w:rsidR="00A73E2D" w:rsidRPr="00EA175D">
        <w:t xml:space="preserve">твянето на процедура за подбор съответната МИГ уведомява съответния УО, предоставящ финансирането по нея, за готовността процедурата да бъде проверена. След извършване на проверка на процедурата от УО последният я активира в ИСУН 2020 и от посочената в условията за кандидатстване дата започва приемът на </w:t>
      </w:r>
      <w:r w:rsidR="00A73E2D" w:rsidRPr="00EA175D">
        <w:lastRenderedPageBreak/>
        <w:t xml:space="preserve">проектни предложения. След приключването на приема на проектни предложения МИГ извършва оценка и изпраща цялата документация по процедурата за последващо одобрение в съответния УО, а за проекти по ПРСР 2014 – 2020 г. – в ДФЗ.   </w:t>
      </w:r>
    </w:p>
    <w:p w14:paraId="21B90861" w14:textId="77777777" w:rsidR="00022E6F" w:rsidRPr="00EA175D" w:rsidRDefault="0003012E" w:rsidP="00EA175D">
      <w:pPr>
        <w:spacing w:line="360" w:lineRule="auto"/>
        <w:ind w:firstLine="567"/>
        <w:jc w:val="both"/>
      </w:pPr>
      <w:r w:rsidRPr="00EA175D">
        <w:t xml:space="preserve">Данните, които са използвани в настоящата част на оценката </w:t>
      </w:r>
      <w:r w:rsidR="00CB1DBC" w:rsidRPr="00EA175D">
        <w:t>са към 30.09.2021 г.</w:t>
      </w:r>
    </w:p>
    <w:p w14:paraId="5283320D" w14:textId="77777777" w:rsidR="00781702" w:rsidRPr="00EA175D" w:rsidRDefault="00781702" w:rsidP="00EA175D">
      <w:pPr>
        <w:spacing w:line="360" w:lineRule="auto"/>
        <w:ind w:firstLine="567"/>
        <w:jc w:val="both"/>
        <w:rPr>
          <w:b/>
          <w:u w:val="single"/>
        </w:rPr>
      </w:pPr>
    </w:p>
    <w:p w14:paraId="0E23FB23" w14:textId="77777777" w:rsidR="00781702" w:rsidRPr="00EA175D" w:rsidRDefault="00781702" w:rsidP="00EA175D">
      <w:pPr>
        <w:spacing w:line="360" w:lineRule="auto"/>
        <w:ind w:firstLine="567"/>
        <w:jc w:val="both"/>
        <w:rPr>
          <w:b/>
          <w:u w:val="single"/>
        </w:rPr>
      </w:pPr>
      <w:r w:rsidRPr="00EA175D">
        <w:rPr>
          <w:b/>
          <w:u w:val="single"/>
        </w:rPr>
        <w:t>Програма за развитие на селските райони 2014 – 2020 г.</w:t>
      </w:r>
    </w:p>
    <w:p w14:paraId="15661C19" w14:textId="77777777" w:rsidR="00781702" w:rsidRPr="00EA175D" w:rsidRDefault="00781702" w:rsidP="00EA175D">
      <w:pPr>
        <w:spacing w:line="360" w:lineRule="auto"/>
        <w:ind w:firstLine="567"/>
        <w:jc w:val="both"/>
      </w:pPr>
      <w:r w:rsidRPr="00EA175D">
        <w:t>ПРСР 2014 – 2020 г. е програмата, осигуряваща финнасиране от ЕЗФРСР за проекти към стратегиите на всички одобрени 64 МИГ в България. Както беше представено в настоящата част</w:t>
      </w:r>
      <w:r w:rsidR="00D77526" w:rsidRPr="00EA175D">
        <w:t>,</w:t>
      </w:r>
      <w:r w:rsidRPr="00EA175D">
        <w:t xml:space="preserve"> общите договорени средства за проекти по стратегиите за ВОМР, осигурени от ПРСР 2014 – 2020 </w:t>
      </w:r>
      <w:r w:rsidR="00D77526" w:rsidRPr="00EA175D">
        <w:t>г., са в размер на 178 920 701,00 лв. (91 482 105,02 евро).</w:t>
      </w:r>
    </w:p>
    <w:p w14:paraId="0950AF45" w14:textId="77777777" w:rsidR="008141B8" w:rsidRPr="00EA175D" w:rsidRDefault="00D77526" w:rsidP="00EA175D">
      <w:pPr>
        <w:spacing w:line="360" w:lineRule="auto"/>
        <w:ind w:firstLine="567"/>
        <w:jc w:val="both"/>
      </w:pPr>
      <w:r w:rsidRPr="00EA175D">
        <w:t xml:space="preserve">Към 30.09.2021 г. </w:t>
      </w:r>
      <w:r w:rsidR="001C0E07" w:rsidRPr="00EA175D">
        <w:t xml:space="preserve">в системата ИСАК на разплащателната агенция са регистрирани 2036 проектни предложения от кандидати към стратегиите за ВОМР. </w:t>
      </w:r>
      <w:r w:rsidR="00A73E2D" w:rsidRPr="00EA175D">
        <w:t>Към същата дата в ДФЗ има одобрени 470</w:t>
      </w:r>
      <w:r w:rsidR="008141B8" w:rsidRPr="00EA175D">
        <w:t xml:space="preserve"> процедури за подбор на проекти, в процес на обработка са 46 процедури, отхвърлени са 20 процедури и други 9 са рестартирани.</w:t>
      </w:r>
    </w:p>
    <w:p w14:paraId="7760A8C7" w14:textId="77777777" w:rsidR="008141B8" w:rsidRPr="00EA175D" w:rsidRDefault="008141B8" w:rsidP="00EA175D">
      <w:pPr>
        <w:spacing w:line="360" w:lineRule="auto"/>
        <w:ind w:firstLine="567"/>
        <w:jc w:val="both"/>
      </w:pPr>
    </w:p>
    <w:p w14:paraId="5237DBC5" w14:textId="77777777" w:rsidR="008141B8" w:rsidRPr="00EA175D" w:rsidRDefault="008141B8" w:rsidP="00EA175D">
      <w:pPr>
        <w:spacing w:line="360" w:lineRule="auto"/>
        <w:ind w:firstLine="567"/>
        <w:jc w:val="both"/>
      </w:pPr>
      <w:r w:rsidRPr="00EA175D">
        <w:t>Графика. Статус на процедурите на МИГ в ДФЗ.</w:t>
      </w:r>
    </w:p>
    <w:p w14:paraId="43F6E99C" w14:textId="77777777" w:rsidR="008141B8" w:rsidRPr="00EA175D" w:rsidRDefault="008141B8" w:rsidP="00EA175D">
      <w:pPr>
        <w:spacing w:line="360" w:lineRule="auto"/>
        <w:ind w:firstLine="567"/>
        <w:jc w:val="both"/>
      </w:pPr>
      <w:r w:rsidRPr="00EA175D">
        <w:rPr>
          <w:lang w:val="it-IT" w:eastAsia="it-IT"/>
        </w:rPr>
        <w:drawing>
          <wp:inline distT="0" distB="0" distL="0" distR="0" wp14:anchorId="06B31A8B" wp14:editId="200DFEFF">
            <wp:extent cx="4572000" cy="2743200"/>
            <wp:effectExtent l="0" t="0" r="19050" b="19050"/>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26CE5BA" w14:textId="77777777" w:rsidR="008141B8" w:rsidRPr="00EA175D" w:rsidRDefault="008141B8" w:rsidP="00EA175D">
      <w:pPr>
        <w:spacing w:line="360" w:lineRule="auto"/>
        <w:ind w:firstLine="567"/>
        <w:jc w:val="both"/>
      </w:pPr>
    </w:p>
    <w:p w14:paraId="56B60B87" w14:textId="77777777" w:rsidR="008141B8" w:rsidRPr="00EA175D" w:rsidRDefault="008141B8" w:rsidP="00EA175D">
      <w:pPr>
        <w:spacing w:line="360" w:lineRule="auto"/>
        <w:ind w:firstLine="567"/>
        <w:jc w:val="both"/>
      </w:pPr>
      <w:r w:rsidRPr="00EA175D">
        <w:lastRenderedPageBreak/>
        <w:t xml:space="preserve">Видно от горната графика е, че </w:t>
      </w:r>
      <w:r w:rsidR="00D85D18" w:rsidRPr="00EA175D">
        <w:t>от страна на</w:t>
      </w:r>
      <w:r w:rsidRPr="00EA175D">
        <w:t xml:space="preserve"> ДФЗ е извършена голяма по обем работа по проверка на постъпилите от МИГ процедури за подбор на проектни предложения. Също така</w:t>
      </w:r>
      <w:r w:rsidR="0083044B" w:rsidRPr="00EA175D">
        <w:t>,</w:t>
      </w:r>
      <w:r w:rsidRPr="00EA175D">
        <w:t xml:space="preserve"> може да се направи извод, че анулираните, отхвърлени и рестартирани процедури са едва 5% от общия брой на процедурите. </w:t>
      </w:r>
    </w:p>
    <w:p w14:paraId="20E516BB" w14:textId="77777777" w:rsidR="00781702" w:rsidRPr="00EA175D" w:rsidRDefault="001C0E07" w:rsidP="00EA175D">
      <w:pPr>
        <w:spacing w:line="360" w:lineRule="auto"/>
        <w:ind w:firstLine="567"/>
        <w:jc w:val="both"/>
      </w:pPr>
      <w:r w:rsidRPr="00EA175D">
        <w:t>Към същата дата с</w:t>
      </w:r>
      <w:r w:rsidR="0050677C" w:rsidRPr="00EA175D">
        <w:t xml:space="preserve">ъс средства от ПРСР 2014 – 2020 г. по стратегиите за ВОМР са сключени общо </w:t>
      </w:r>
      <w:r w:rsidRPr="00EA175D">
        <w:t>59</w:t>
      </w:r>
      <w:r w:rsidR="00FB6F01" w:rsidRPr="00EA175D">
        <w:t>4</w:t>
      </w:r>
      <w:r w:rsidRPr="00EA175D">
        <w:t xml:space="preserve"> договора с общ размер на субсидията 63 879 999,60 лв.</w:t>
      </w:r>
      <w:r w:rsidR="00737321" w:rsidRPr="00EA175D">
        <w:t>, което представлява 35,7% договорени средства към крайни бенефициенти от средствата, договорени</w:t>
      </w:r>
      <w:r w:rsidR="008200D0" w:rsidRPr="00EA175D">
        <w:t xml:space="preserve"> към МИГ по стратегиите за ВОМР.</w:t>
      </w:r>
    </w:p>
    <w:p w14:paraId="0FA5D1DD" w14:textId="77777777" w:rsidR="006F4E48" w:rsidRPr="00EA175D" w:rsidRDefault="006F4E48" w:rsidP="00EA175D">
      <w:pPr>
        <w:spacing w:line="360" w:lineRule="auto"/>
        <w:ind w:firstLine="567"/>
        <w:jc w:val="both"/>
        <w:rPr>
          <w:i/>
        </w:rPr>
      </w:pPr>
      <w:r w:rsidRPr="00EA175D">
        <w:rPr>
          <w:i/>
        </w:rPr>
        <w:t>В следващия текст са описани мерки от стратегиите за ВОМР със съответстващото им номериране съгласно ПРСР 2014 – 2020 г., тъй като в някои от стратегиите те са с различно номериране, но по същество са същите както в програмата.</w:t>
      </w:r>
    </w:p>
    <w:p w14:paraId="6770BB2A" w14:textId="77777777" w:rsidR="00B21527" w:rsidRPr="00F77584" w:rsidRDefault="00B21527" w:rsidP="00EA175D">
      <w:pPr>
        <w:spacing w:line="360" w:lineRule="auto"/>
        <w:ind w:firstLine="567"/>
        <w:jc w:val="both"/>
        <w:rPr>
          <w:lang w:val="ru-RU"/>
        </w:rPr>
      </w:pPr>
      <w:r w:rsidRPr="00EA175D">
        <w:t xml:space="preserve">Най-голям брой </w:t>
      </w:r>
      <w:r w:rsidR="000D3326" w:rsidRPr="00EA175D">
        <w:t xml:space="preserve">договори – </w:t>
      </w:r>
      <w:r w:rsidR="003F1D8A" w:rsidRPr="00EA175D">
        <w:t xml:space="preserve">200 са сключени по мярка 7.2 </w:t>
      </w:r>
      <w:r w:rsidR="00DB6F8C" w:rsidRPr="00EA175D">
        <w:t xml:space="preserve">„Инвестиции в създаването, подобряването или разширяването на всички видове малка по мащаби инфраструктура“ </w:t>
      </w:r>
      <w:r w:rsidR="003F1D8A" w:rsidRPr="00EA175D">
        <w:t xml:space="preserve">с общ размер на безвъзмездната финансова помощ от 34 444 229,56 лева, </w:t>
      </w:r>
      <w:r w:rsidR="000D3326" w:rsidRPr="00EA175D">
        <w:t xml:space="preserve">175 </w:t>
      </w:r>
      <w:r w:rsidR="003F1D8A" w:rsidRPr="00EA175D">
        <w:t xml:space="preserve">договора </w:t>
      </w:r>
      <w:r w:rsidRPr="00EA175D">
        <w:t xml:space="preserve">са </w:t>
      </w:r>
      <w:r w:rsidR="000D3326" w:rsidRPr="00EA175D">
        <w:t>сключени</w:t>
      </w:r>
      <w:r w:rsidRPr="00EA175D">
        <w:t xml:space="preserve"> по мярка </w:t>
      </w:r>
      <w:r w:rsidR="000D3326" w:rsidRPr="00EA175D">
        <w:t xml:space="preserve">4.1 </w:t>
      </w:r>
      <w:r w:rsidR="00DB6F8C" w:rsidRPr="00EA175D">
        <w:t xml:space="preserve">„Инвестиции в земеделски стопанства“ </w:t>
      </w:r>
      <w:r w:rsidR="000D3326" w:rsidRPr="00EA175D">
        <w:t xml:space="preserve">с общ размер на </w:t>
      </w:r>
      <w:r w:rsidR="003F1D8A" w:rsidRPr="00EA175D">
        <w:t>безвъзмездната финансова помощ</w:t>
      </w:r>
      <w:r w:rsidR="000D3326" w:rsidRPr="00EA175D">
        <w:t xml:space="preserve"> 12 415 382,87 лева</w:t>
      </w:r>
      <w:r w:rsidRPr="00EA175D">
        <w:t xml:space="preserve">, </w:t>
      </w:r>
      <w:r w:rsidR="000D3326" w:rsidRPr="00EA175D">
        <w:t xml:space="preserve">по мярка 6.4 </w:t>
      </w:r>
      <w:r w:rsidR="00DB6F8C" w:rsidRPr="00EA175D">
        <w:t xml:space="preserve">„Инвестиции в подкрепа на неземеделски дейности“ </w:t>
      </w:r>
      <w:r w:rsidR="000D3326" w:rsidRPr="00EA175D">
        <w:t xml:space="preserve">са сключени 53 договора с обща стойност на </w:t>
      </w:r>
      <w:r w:rsidR="003F1D8A" w:rsidRPr="00EA175D">
        <w:t>безвъзмездната финансова помощ</w:t>
      </w:r>
      <w:r w:rsidR="000D3326" w:rsidRPr="00EA175D">
        <w:t xml:space="preserve"> 5 535 544,08 лева</w:t>
      </w:r>
      <w:r w:rsidR="00533A96" w:rsidRPr="00EA175D">
        <w:t xml:space="preserve">, по мярка 7.5 </w:t>
      </w:r>
      <w:r w:rsidR="00DB6F8C" w:rsidRPr="00EA175D">
        <w:t xml:space="preserve">„Инвестиции за публично ползване в инфраструктура за отдих, туристическа инфраструктура“ </w:t>
      </w:r>
      <w:r w:rsidR="00533A96" w:rsidRPr="00EA175D">
        <w:t>са сключени 42 договора с общ размер на безвъзмездната финансова помощ 4 660 666,26 лева,</w:t>
      </w:r>
      <w:r w:rsidR="000D3326" w:rsidRPr="00EA175D">
        <w:t xml:space="preserve"> </w:t>
      </w:r>
      <w:r w:rsidR="00DB6F8C" w:rsidRPr="00EA175D">
        <w:t xml:space="preserve">по мярка 4.2 „Инвестиции в преработка/маркетинг на селскостопански продукти“ са сключени 41 договора с обща стойност на безвъзмездната финансова помощ 3 694 852,93 лева, </w:t>
      </w:r>
      <w:r w:rsidR="008C456A" w:rsidRPr="00EA175D">
        <w:t xml:space="preserve">по мярка 7.6 </w:t>
      </w:r>
      <w:r w:rsidR="00DB6F8C" w:rsidRPr="00EA175D">
        <w:t xml:space="preserve">„Проучвания и инвестиции, свързани с поддържане, възстановяване и подобряване на културното и природното наследство на селата“ </w:t>
      </w:r>
      <w:r w:rsidR="008C456A" w:rsidRPr="00EA175D">
        <w:t>са сключени 9 договора с общ размер на безвъзмездната финансова помощ 375 000,51 лева,</w:t>
      </w:r>
      <w:r w:rsidR="00DB6F8C" w:rsidRPr="00EA175D">
        <w:t xml:space="preserve"> по мярка 8.6 „Инвестиции в технологии за лесовъдството и в преработката, мобилизирането и търговията на горски продукти“ са сключени 7 договора с общ размер на безвъзмездната финансова помощ 636 892,42 лева,</w:t>
      </w:r>
      <w:r w:rsidR="008C456A" w:rsidRPr="00EA175D">
        <w:t xml:space="preserve"> </w:t>
      </w:r>
      <w:r w:rsidRPr="00EA175D">
        <w:t xml:space="preserve">по мерките, разработени от МИГ </w:t>
      </w:r>
      <w:r w:rsidRPr="00EA175D">
        <w:lastRenderedPageBreak/>
        <w:t xml:space="preserve">са сключени общо </w:t>
      </w:r>
      <w:r w:rsidR="00DB6F8C" w:rsidRPr="00EA175D">
        <w:t>6</w:t>
      </w:r>
      <w:r w:rsidR="00011A8F" w:rsidRPr="00EA175D">
        <w:t>7</w:t>
      </w:r>
      <w:r w:rsidRPr="00EA175D">
        <w:t xml:space="preserve"> договора със стойност на </w:t>
      </w:r>
      <w:r w:rsidR="003F1D8A" w:rsidRPr="00EA175D">
        <w:t>безвъзмездната финансова помощ</w:t>
      </w:r>
      <w:r w:rsidRPr="00EA175D">
        <w:t xml:space="preserve"> </w:t>
      </w:r>
      <w:r w:rsidR="00DB6F8C" w:rsidRPr="00EA175D">
        <w:t>2</w:t>
      </w:r>
      <w:r w:rsidRPr="00EA175D">
        <w:t xml:space="preserve"> </w:t>
      </w:r>
      <w:r w:rsidR="00DB6F8C" w:rsidRPr="00EA175D">
        <w:t>117</w:t>
      </w:r>
      <w:r w:rsidRPr="00EA175D">
        <w:t xml:space="preserve"> </w:t>
      </w:r>
      <w:r w:rsidR="00DB6F8C" w:rsidRPr="00EA175D">
        <w:t>430</w:t>
      </w:r>
      <w:r w:rsidR="00755FAB" w:rsidRPr="00EA175D">
        <w:t>,</w:t>
      </w:r>
      <w:r w:rsidR="00011A8F" w:rsidRPr="00EA175D">
        <w:t>9</w:t>
      </w:r>
      <w:r w:rsidR="00DB6F8C" w:rsidRPr="00EA175D">
        <w:t>7</w:t>
      </w:r>
      <w:r w:rsidRPr="00EA175D">
        <w:t xml:space="preserve"> лева.</w:t>
      </w:r>
      <w:r w:rsidR="00DB6F8C" w:rsidRPr="00EA175D">
        <w:t xml:space="preserve"> Подробна информация е представена в </w:t>
      </w:r>
      <w:r w:rsidR="00DB6F8C" w:rsidRPr="00EA175D">
        <w:rPr>
          <w:b/>
          <w:bCs/>
        </w:rPr>
        <w:t xml:space="preserve">Приложение № </w:t>
      </w:r>
      <w:r w:rsidR="00546A88" w:rsidRPr="00EA175D">
        <w:rPr>
          <w:b/>
          <w:bCs/>
        </w:rPr>
        <w:t>1</w:t>
      </w:r>
      <w:r w:rsidR="00DB6F8C" w:rsidRPr="00EA175D">
        <w:rPr>
          <w:b/>
          <w:bCs/>
        </w:rPr>
        <w:t>.</w:t>
      </w:r>
      <w:r w:rsidRPr="00EA175D">
        <w:t xml:space="preserve">  </w:t>
      </w:r>
    </w:p>
    <w:p w14:paraId="6AC916B8" w14:textId="77777777" w:rsidR="006F4E48" w:rsidRPr="00EA175D" w:rsidRDefault="006F4E48" w:rsidP="00EA175D">
      <w:pPr>
        <w:spacing w:line="360" w:lineRule="auto"/>
        <w:ind w:firstLine="567"/>
        <w:jc w:val="both"/>
      </w:pPr>
      <w:r w:rsidRPr="00EA175D">
        <w:t xml:space="preserve">Описаните данни са представени на следващите графики. </w:t>
      </w:r>
    </w:p>
    <w:p w14:paraId="3F79703A" w14:textId="77777777" w:rsidR="006F4E48" w:rsidRPr="00F77584" w:rsidRDefault="006F4E48" w:rsidP="00EA175D">
      <w:pPr>
        <w:spacing w:line="360" w:lineRule="auto"/>
        <w:jc w:val="both"/>
        <w:rPr>
          <w:lang w:val="ru-RU"/>
        </w:rPr>
      </w:pPr>
    </w:p>
    <w:p w14:paraId="30D343C1" w14:textId="77777777" w:rsidR="00DB6F8C" w:rsidRPr="00EA175D" w:rsidRDefault="00DB6F8C" w:rsidP="00EA175D">
      <w:pPr>
        <w:spacing w:line="360" w:lineRule="auto"/>
        <w:jc w:val="both"/>
      </w:pPr>
      <w:r w:rsidRPr="00EA175D">
        <w:t>Графика. Сключени договори по мерки</w:t>
      </w:r>
      <w:r w:rsidR="00D66005" w:rsidRPr="00EA175D">
        <w:t>те</w:t>
      </w:r>
      <w:r w:rsidRPr="00EA175D">
        <w:t xml:space="preserve"> от стратегиите за ВОМР.</w:t>
      </w:r>
    </w:p>
    <w:p w14:paraId="33DAFF0F" w14:textId="77777777" w:rsidR="00DB6F8C" w:rsidRPr="00EA175D" w:rsidRDefault="00D66005" w:rsidP="00EA175D">
      <w:pPr>
        <w:spacing w:line="360" w:lineRule="auto"/>
        <w:jc w:val="both"/>
      </w:pPr>
      <w:r w:rsidRPr="00EA175D">
        <w:rPr>
          <w:lang w:val="it-IT" w:eastAsia="it-IT"/>
        </w:rPr>
        <w:drawing>
          <wp:inline distT="0" distB="0" distL="0" distR="0" wp14:anchorId="53FC2E77" wp14:editId="0C8F5D0E">
            <wp:extent cx="6264613" cy="2636196"/>
            <wp:effectExtent l="0" t="0" r="22225" b="12065"/>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377A1E9" w14:textId="77777777" w:rsidR="00DB6F8C" w:rsidRPr="00EA175D" w:rsidRDefault="00DB6F8C" w:rsidP="00EA175D">
      <w:pPr>
        <w:spacing w:line="360" w:lineRule="auto"/>
        <w:ind w:firstLine="567"/>
        <w:jc w:val="both"/>
      </w:pPr>
    </w:p>
    <w:p w14:paraId="4F8B6214" w14:textId="77777777" w:rsidR="00D66005" w:rsidRPr="00EA175D" w:rsidRDefault="00D66005" w:rsidP="00EA175D">
      <w:pPr>
        <w:spacing w:line="360" w:lineRule="auto"/>
        <w:ind w:firstLine="567"/>
        <w:jc w:val="both"/>
      </w:pPr>
      <w:r w:rsidRPr="00EA175D">
        <w:t>Графика. Договорени средства по мерките от стратегиите за ВОМР.</w:t>
      </w:r>
    </w:p>
    <w:p w14:paraId="313E6B9D" w14:textId="77777777" w:rsidR="00D66005" w:rsidRPr="00EA175D" w:rsidRDefault="00D66005" w:rsidP="00EA175D">
      <w:pPr>
        <w:spacing w:line="360" w:lineRule="auto"/>
        <w:jc w:val="both"/>
      </w:pPr>
      <w:r w:rsidRPr="00EA175D">
        <w:rPr>
          <w:lang w:val="it-IT" w:eastAsia="it-IT"/>
        </w:rPr>
        <w:lastRenderedPageBreak/>
        <w:drawing>
          <wp:inline distT="0" distB="0" distL="0" distR="0" wp14:anchorId="72F1A30C" wp14:editId="7685443B">
            <wp:extent cx="5850255" cy="3642360"/>
            <wp:effectExtent l="0" t="0" r="17145" b="15240"/>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2B3316A" w14:textId="77777777" w:rsidR="00D66005" w:rsidRPr="00EA175D" w:rsidRDefault="00D66005" w:rsidP="00EA175D">
      <w:pPr>
        <w:spacing w:line="360" w:lineRule="auto"/>
        <w:ind w:firstLine="567"/>
        <w:jc w:val="both"/>
      </w:pPr>
    </w:p>
    <w:p w14:paraId="6F7B7F01" w14:textId="3781182F" w:rsidR="006F4E48" w:rsidRPr="00EA175D" w:rsidRDefault="006F4E48" w:rsidP="00EA175D">
      <w:pPr>
        <w:spacing w:line="360" w:lineRule="auto"/>
        <w:ind w:firstLine="567"/>
        <w:jc w:val="both"/>
      </w:pPr>
      <w:r w:rsidRPr="00EA175D">
        <w:t>От представената информация е видно, че най-много договори и като брой, и като ст</w:t>
      </w:r>
      <w:r w:rsidR="001761A1">
        <w:t>о</w:t>
      </w:r>
      <w:r w:rsidRPr="00EA175D">
        <w:t xml:space="preserve">йност </w:t>
      </w:r>
      <w:r w:rsidR="00046B24" w:rsidRPr="00EA175D">
        <w:t xml:space="preserve">(около 50% от всички договорени средства) </w:t>
      </w:r>
      <w:r w:rsidRPr="00EA175D">
        <w:t>са сключени по мярка 7.2 от стратегиите за ВОМР, която е свързана с подобряване на услови</w:t>
      </w:r>
      <w:r w:rsidR="00046B24" w:rsidRPr="00EA175D">
        <w:t xml:space="preserve">ята за живот в населените места. Проектите по тази мярка обикновено са свързани със строителни работи и изсискват по-дълъг период на изпълнение, поради което сключването на възможно по-голям брой договори по тази мярка от стратегиите за ВОМР е правилно управленско решение. Следваща по брой договори и договорени средства е мярка 4.1, което е разбираемо, тъй като МИГ в основната си част се намират в селските райони и мярката за инвестиции в земеделските стопанства е най-популярна сред местните общности. </w:t>
      </w:r>
    </w:p>
    <w:p w14:paraId="6FC43ED9" w14:textId="6E89998A" w:rsidR="00046B24" w:rsidRPr="00EA175D" w:rsidRDefault="00046B24" w:rsidP="00EA175D">
      <w:pPr>
        <w:spacing w:line="360" w:lineRule="auto"/>
        <w:ind w:firstLine="567"/>
        <w:jc w:val="both"/>
      </w:pPr>
      <w:r w:rsidRPr="00EA175D">
        <w:t>През програмния период 2014 – 2020 г. МИГ имат възможност да разработват и включват в стратегиите си за ВОМР собствени мерки, които се основават на характеристиките и спецификите на съо</w:t>
      </w:r>
      <w:r w:rsidR="001761A1">
        <w:t>т</w:t>
      </w:r>
      <w:r w:rsidRPr="00EA175D">
        <w:t xml:space="preserve">ветните територии и общности. </w:t>
      </w:r>
      <w:r w:rsidR="00443FD7" w:rsidRPr="00EA175D">
        <w:t xml:space="preserve">Именно това са </w:t>
      </w:r>
      <w:r w:rsidR="00443FD7" w:rsidRPr="00EA175D">
        <w:lastRenderedPageBreak/>
        <w:t>мерките, които се нареждат на трето място по брой сключени договори – 67, но като обща договорена стойност отстъпват на мерки 6.4, 7.5 и 4.2, поради сравнително малките размери на проектите по разработените от МИГ мерки.</w:t>
      </w:r>
    </w:p>
    <w:p w14:paraId="56AC03D7" w14:textId="77777777" w:rsidR="00443FD7" w:rsidRPr="00EA175D" w:rsidRDefault="00443FD7" w:rsidP="00EA175D">
      <w:pPr>
        <w:spacing w:line="360" w:lineRule="auto"/>
        <w:ind w:firstLine="567"/>
        <w:jc w:val="both"/>
      </w:pPr>
      <w:r w:rsidRPr="00EA175D">
        <w:t>Прави впечатление малкият брой договори и малкият размер на договорените средства по едни от най-популярните мерки – 6.4, 4.2 и 7.5. По тези мерки от страна на ДФЗ следва да се положат усилия за ускоряване на процеса по разглеждане и одобрение на подадените от МИГ проектни предложения.</w:t>
      </w:r>
    </w:p>
    <w:p w14:paraId="201C366F" w14:textId="77777777" w:rsidR="00443FD7" w:rsidRPr="00EA175D" w:rsidRDefault="00443FD7" w:rsidP="00EA175D">
      <w:pPr>
        <w:spacing w:line="360" w:lineRule="auto"/>
        <w:ind w:firstLine="567"/>
        <w:jc w:val="both"/>
      </w:pPr>
      <w:r w:rsidRPr="00EA175D">
        <w:t xml:space="preserve">Мерки 7.6 и 8.6 не са широко застъпени в стратегиите и логично договорянето по тях и като брой договори и като договорена стойност е с най-ниски показатели. </w:t>
      </w:r>
    </w:p>
    <w:p w14:paraId="7561064E" w14:textId="77777777" w:rsidR="006F4E48" w:rsidRPr="00EA175D" w:rsidRDefault="006F4E48" w:rsidP="00EA175D">
      <w:pPr>
        <w:spacing w:line="360" w:lineRule="auto"/>
        <w:ind w:firstLine="567"/>
        <w:jc w:val="both"/>
      </w:pPr>
    </w:p>
    <w:p w14:paraId="263BD134" w14:textId="77777777" w:rsidR="008200D0" w:rsidRPr="00F77584" w:rsidRDefault="008200D0" w:rsidP="00EA175D">
      <w:pPr>
        <w:spacing w:line="360" w:lineRule="auto"/>
        <w:ind w:firstLine="567"/>
        <w:jc w:val="both"/>
        <w:rPr>
          <w:lang w:val="ru-RU"/>
        </w:rPr>
      </w:pPr>
      <w:r w:rsidRPr="00EA175D">
        <w:t>Графика. Степен на договаряне на средствата по ПРСР 2014 – 2020 г. подмярка 19.2.</w:t>
      </w:r>
    </w:p>
    <w:p w14:paraId="5FD57CE6" w14:textId="77777777" w:rsidR="00D6701B" w:rsidRPr="00F77584" w:rsidRDefault="00D6701B" w:rsidP="00EA175D">
      <w:pPr>
        <w:spacing w:line="360" w:lineRule="auto"/>
        <w:ind w:firstLine="567"/>
        <w:jc w:val="both"/>
        <w:rPr>
          <w:lang w:val="ru-RU"/>
        </w:rPr>
      </w:pPr>
    </w:p>
    <w:p w14:paraId="1C25688F" w14:textId="77777777" w:rsidR="008200D0" w:rsidRPr="00EA175D" w:rsidRDefault="00A17FAE" w:rsidP="00EA175D">
      <w:pPr>
        <w:spacing w:line="360" w:lineRule="auto"/>
        <w:ind w:firstLine="567"/>
        <w:jc w:val="both"/>
        <w:rPr>
          <w:lang w:val="en-GB"/>
        </w:rPr>
      </w:pPr>
      <w:r w:rsidRPr="00EA175D">
        <w:rPr>
          <w:lang w:val="it-IT" w:eastAsia="it-IT"/>
        </w:rPr>
        <w:drawing>
          <wp:inline distT="0" distB="0" distL="0" distR="0" wp14:anchorId="60E0BF67" wp14:editId="291BCBA7">
            <wp:extent cx="4572000" cy="2743200"/>
            <wp:effectExtent l="0" t="0" r="19050" b="1905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2290A18" w14:textId="77777777" w:rsidR="00A17FAE" w:rsidRPr="00EA175D" w:rsidRDefault="00A17FAE" w:rsidP="00EA175D">
      <w:pPr>
        <w:spacing w:line="360" w:lineRule="auto"/>
        <w:ind w:firstLine="567"/>
        <w:jc w:val="both"/>
      </w:pPr>
    </w:p>
    <w:p w14:paraId="5B7513E2" w14:textId="77777777" w:rsidR="00461A4D" w:rsidRPr="00EA175D" w:rsidRDefault="00461A4D" w:rsidP="00EA175D">
      <w:pPr>
        <w:spacing w:line="360" w:lineRule="auto"/>
        <w:ind w:firstLine="567"/>
        <w:jc w:val="both"/>
      </w:pPr>
      <w:r w:rsidRPr="00EA175D">
        <w:t xml:space="preserve">Постигнатата към 30.09.2021 г. степен на договаряне на проекти с финансиране по ПРСР 2014 – 2020 г. е крайно ниска и поставя под риск успешното изпълнение на подхода ВОМР. </w:t>
      </w:r>
      <w:r w:rsidR="00396F19" w:rsidRPr="00EA175D">
        <w:t xml:space="preserve">Предвид преходния период по ПРСР 2021 – 2022 г. ДФЗ ще разполага с допълнително време за успешното договаряне на всички проектни предложения, които </w:t>
      </w:r>
      <w:r w:rsidR="00396F19" w:rsidRPr="00EA175D">
        <w:lastRenderedPageBreak/>
        <w:t>са одобрени от МИГ и подадени за последваща проверка и които отговарят на съответните нормативни изисквания.</w:t>
      </w:r>
    </w:p>
    <w:p w14:paraId="3588A4C9" w14:textId="77777777" w:rsidR="00691DB4" w:rsidRPr="00EA175D" w:rsidRDefault="00691DB4" w:rsidP="00EA175D">
      <w:pPr>
        <w:spacing w:line="360" w:lineRule="auto"/>
        <w:ind w:firstLine="567"/>
        <w:jc w:val="both"/>
        <w:rPr>
          <w:b/>
          <w:u w:val="single"/>
        </w:rPr>
      </w:pPr>
    </w:p>
    <w:p w14:paraId="56268B22" w14:textId="77777777" w:rsidR="008A2AD7" w:rsidRPr="00EA175D" w:rsidRDefault="008A2AD7" w:rsidP="00EA175D">
      <w:pPr>
        <w:spacing w:line="360" w:lineRule="auto"/>
        <w:ind w:firstLine="567"/>
        <w:jc w:val="both"/>
        <w:rPr>
          <w:b/>
          <w:u w:val="single"/>
        </w:rPr>
      </w:pPr>
      <w:r w:rsidRPr="00EA175D">
        <w:rPr>
          <w:b/>
          <w:u w:val="single"/>
        </w:rPr>
        <w:t xml:space="preserve">Оперативна програма „Иновации и конкурентоспособност“ 2014 – 2020 </w:t>
      </w:r>
      <w:r w:rsidR="00C41471" w:rsidRPr="00EA175D">
        <w:rPr>
          <w:b/>
          <w:u w:val="single"/>
        </w:rPr>
        <w:t>г.</w:t>
      </w:r>
    </w:p>
    <w:p w14:paraId="1FB48892" w14:textId="77777777" w:rsidR="008A2AD7" w:rsidRPr="00EA175D" w:rsidRDefault="008A2AD7" w:rsidP="00EA175D">
      <w:pPr>
        <w:spacing w:line="360" w:lineRule="auto"/>
        <w:ind w:firstLine="567"/>
        <w:jc w:val="both"/>
      </w:pPr>
      <w:r w:rsidRPr="00EA175D">
        <w:t>В изпълнение на подхода ВОМР по ОПИК се изпълняват 31 споразумения, сключени с местните инициативни групи с многофондови стратегии за местно развитие, с общ бюджет в размер на 57 292 5</w:t>
      </w:r>
      <w:r w:rsidR="00F74DB5" w:rsidRPr="00EA175D">
        <w:t>40</w:t>
      </w:r>
      <w:r w:rsidRPr="00EA175D">
        <w:t xml:space="preserve"> лева, като по първа покана се изпълняват 16 споразумения с общ бюджет 29 779 926 лева и по втора покана се изпълняват 15 споразумения с общ бюджет 27 512 614 лева. </w:t>
      </w:r>
    </w:p>
    <w:p w14:paraId="6BE80E1F" w14:textId="77777777" w:rsidR="008A2AD7" w:rsidRPr="00EA175D" w:rsidRDefault="008A2AD7" w:rsidP="00EA175D">
      <w:pPr>
        <w:spacing w:line="360" w:lineRule="auto"/>
        <w:ind w:firstLine="567"/>
        <w:jc w:val="both"/>
      </w:pPr>
      <w:r w:rsidRPr="00EA175D">
        <w:t>В стратегиите за ВОМР са идентифицирани за прилагане мерки/операции с финансиране по Приоритетна ос 1 „Технологично развитие и иновации“ с общ финансов ресурс в размер на 7 363 857 лева и Приоритетна ос 2 „Предприемачество и капацитет за растеж на МСП“ с общ финансов ресурс в размер на 49 928 683 лева.</w:t>
      </w:r>
    </w:p>
    <w:p w14:paraId="4072A73C" w14:textId="77777777" w:rsidR="008A2AD7" w:rsidRPr="00EA175D" w:rsidRDefault="008A2AD7" w:rsidP="00EA175D">
      <w:pPr>
        <w:spacing w:line="360" w:lineRule="auto"/>
        <w:ind w:firstLine="567"/>
        <w:jc w:val="both"/>
      </w:pPr>
      <w:r w:rsidRPr="00EA175D">
        <w:t>УО на ОПИК оказва постоянна методическа помощ на МИГ при подготовката на документите за обявяване на процедури за подбор на проекти и провеждането на оценителни сесии чрез определяне на наблюдатели. В тази връзка са публикувани Указания за подбор на проекти по чл. 37, ал. 1 на ПМС № 161/2016, които се актуализират при промени в законодателството. Към тях са приложени всички необходими документи за подпомагане на МИГ в процеса на изпълнение на идентифицираните мерки, с финансиране по програмата, в т.ч. Правила за работа на Комисиите за подбор на проекти с цел прилагане на единен подход при оценка на проектните предложения.</w:t>
      </w:r>
    </w:p>
    <w:p w14:paraId="098678E6" w14:textId="77777777" w:rsidR="00A6293F" w:rsidRPr="00EA175D" w:rsidRDefault="008A2AD7" w:rsidP="00EA175D">
      <w:pPr>
        <w:spacing w:line="360" w:lineRule="auto"/>
        <w:ind w:firstLine="567"/>
        <w:jc w:val="both"/>
      </w:pPr>
      <w:r w:rsidRPr="00EA175D">
        <w:t>През периода</w:t>
      </w:r>
      <w:r w:rsidR="00A6293F" w:rsidRPr="00EA175D">
        <w:t xml:space="preserve">, включен в настоящата оценка </w:t>
      </w:r>
      <w:r w:rsidRPr="00EA175D">
        <w:t>са приключили 87 процедури</w:t>
      </w:r>
      <w:r w:rsidR="00A6293F" w:rsidRPr="00EA175D">
        <w:t xml:space="preserve"> за подбор на проектни предложения</w:t>
      </w:r>
      <w:r w:rsidRPr="00EA175D">
        <w:t>, по които са постъпили проектни предложения, 3 процедури са активни, 4 са анулирани и 3 процедури са в чернова. По приключилите 87 процедури са постъпили 334 проектни предложения</w:t>
      </w:r>
      <w:r w:rsidR="0069312D" w:rsidRPr="00EA175D">
        <w:t xml:space="preserve"> </w:t>
      </w:r>
      <w:r w:rsidR="00546A88" w:rsidRPr="00EA175D">
        <w:t>,</w:t>
      </w:r>
      <w:r w:rsidRPr="00EA175D">
        <w:t xml:space="preserve"> от тях 9 са оттеглени.</w:t>
      </w:r>
    </w:p>
    <w:p w14:paraId="06D8C9B4" w14:textId="77777777" w:rsidR="00A6293F" w:rsidRPr="00EA175D" w:rsidRDefault="00A6293F" w:rsidP="00EA175D">
      <w:pPr>
        <w:spacing w:line="360" w:lineRule="auto"/>
        <w:ind w:firstLine="567"/>
        <w:jc w:val="both"/>
      </w:pPr>
    </w:p>
    <w:p w14:paraId="45BEB011" w14:textId="77777777" w:rsidR="00546A88" w:rsidRPr="00EA175D" w:rsidRDefault="00546A88" w:rsidP="00EA175D">
      <w:pPr>
        <w:spacing w:line="360" w:lineRule="auto"/>
        <w:ind w:firstLine="567"/>
        <w:jc w:val="both"/>
      </w:pPr>
    </w:p>
    <w:p w14:paraId="3F75666D" w14:textId="77777777" w:rsidR="00546A88" w:rsidRPr="00EA175D" w:rsidRDefault="00546A88" w:rsidP="00EA175D">
      <w:pPr>
        <w:spacing w:line="360" w:lineRule="auto"/>
        <w:ind w:firstLine="567"/>
        <w:jc w:val="both"/>
      </w:pPr>
    </w:p>
    <w:p w14:paraId="15E72CCE" w14:textId="77777777" w:rsidR="00546A88" w:rsidRPr="00EA175D" w:rsidRDefault="00546A88" w:rsidP="00EA175D">
      <w:pPr>
        <w:spacing w:line="360" w:lineRule="auto"/>
        <w:ind w:firstLine="567"/>
        <w:jc w:val="both"/>
      </w:pPr>
    </w:p>
    <w:p w14:paraId="60AEA011" w14:textId="77777777" w:rsidR="00546A88" w:rsidRPr="00EA175D" w:rsidRDefault="00546A88" w:rsidP="00EA175D">
      <w:pPr>
        <w:spacing w:line="360" w:lineRule="auto"/>
        <w:ind w:firstLine="567"/>
        <w:jc w:val="both"/>
      </w:pPr>
    </w:p>
    <w:p w14:paraId="263FA616" w14:textId="77777777" w:rsidR="00546A88" w:rsidRPr="00EA175D" w:rsidRDefault="00546A88" w:rsidP="00EA175D">
      <w:pPr>
        <w:spacing w:line="360" w:lineRule="auto"/>
        <w:ind w:firstLine="567"/>
        <w:jc w:val="both"/>
      </w:pPr>
    </w:p>
    <w:p w14:paraId="72D361C5" w14:textId="77777777" w:rsidR="00A6293F" w:rsidRPr="00EA175D" w:rsidRDefault="00A6293F" w:rsidP="00EA175D">
      <w:pPr>
        <w:spacing w:line="360" w:lineRule="auto"/>
        <w:ind w:firstLine="567"/>
        <w:jc w:val="both"/>
      </w:pPr>
      <w:r w:rsidRPr="00EA175D">
        <w:t>Графика. Статус на процедурите за подбор на проекти по ОПИК.</w:t>
      </w:r>
    </w:p>
    <w:p w14:paraId="325AC338" w14:textId="77777777" w:rsidR="00A6293F" w:rsidRPr="00EA175D" w:rsidRDefault="0069312D" w:rsidP="00EA175D">
      <w:pPr>
        <w:spacing w:line="360" w:lineRule="auto"/>
        <w:ind w:firstLine="567"/>
        <w:jc w:val="both"/>
      </w:pPr>
      <w:r w:rsidRPr="00EA175D">
        <w:rPr>
          <w:lang w:val="it-IT" w:eastAsia="it-IT"/>
        </w:rPr>
        <w:drawing>
          <wp:inline distT="0" distB="0" distL="0" distR="0" wp14:anchorId="2A609B76" wp14:editId="5738D6E2">
            <wp:extent cx="4572000" cy="2743200"/>
            <wp:effectExtent l="0" t="0" r="19050" b="1905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F001089" w14:textId="77777777" w:rsidR="0069312D" w:rsidRPr="00EA175D" w:rsidRDefault="0069312D" w:rsidP="00EA175D">
      <w:pPr>
        <w:spacing w:line="360" w:lineRule="auto"/>
        <w:ind w:firstLine="567"/>
        <w:jc w:val="both"/>
      </w:pPr>
    </w:p>
    <w:p w14:paraId="208745C4" w14:textId="77777777" w:rsidR="008A2AD7" w:rsidRPr="00EA175D" w:rsidRDefault="008A2AD7" w:rsidP="00EA175D">
      <w:pPr>
        <w:spacing w:line="360" w:lineRule="auto"/>
        <w:ind w:firstLine="567"/>
        <w:jc w:val="both"/>
      </w:pPr>
      <w:r w:rsidRPr="00EA175D">
        <w:t xml:space="preserve"> УО на ОПИК извършва проверки за спазване на процедурите за подбор на проекти на МИГ в срок от един месец от получаването на оценителните доклади, в изпълнение на разпоредбите на чл. 47, ал. 1 на ПМС № 161/2016. На основа на одобрените доклади в периода са сключени общо 170 административни договора на обща стойност 50 363 918,38 лева, като размерът на договорената безвъзмезна финансова помощ е 43 760 695,03 лева. Това означава, че 76,38 % от </w:t>
      </w:r>
      <w:r w:rsidR="00A369EE" w:rsidRPr="00EA175D">
        <w:t xml:space="preserve">договорения към МИГ </w:t>
      </w:r>
      <w:r w:rsidRPr="00EA175D">
        <w:t>бюджет по ОПИК е договорен</w:t>
      </w:r>
      <w:r w:rsidR="00A369EE" w:rsidRPr="00EA175D">
        <w:t xml:space="preserve"> към крайни бенефициенти към стратегиите за ВОМР</w:t>
      </w:r>
      <w:r w:rsidRPr="00EA175D">
        <w:t xml:space="preserve">.   </w:t>
      </w:r>
    </w:p>
    <w:p w14:paraId="008C3C8F" w14:textId="77777777" w:rsidR="00A369EE" w:rsidRPr="00EA175D" w:rsidRDefault="00A369EE" w:rsidP="00EA175D">
      <w:pPr>
        <w:spacing w:line="360" w:lineRule="auto"/>
        <w:ind w:firstLine="567"/>
        <w:jc w:val="both"/>
      </w:pPr>
    </w:p>
    <w:p w14:paraId="1EFBF0F3" w14:textId="77777777" w:rsidR="00A369EE" w:rsidRPr="00EA175D" w:rsidRDefault="00A369EE" w:rsidP="00EA175D">
      <w:pPr>
        <w:spacing w:line="360" w:lineRule="auto"/>
        <w:ind w:firstLine="567"/>
        <w:jc w:val="both"/>
      </w:pPr>
      <w:r w:rsidRPr="00EA175D">
        <w:t>Графика. Степен на договаряне на средствата по ОПИК 2014 – 2020 г. по подмярка 19.2.</w:t>
      </w:r>
    </w:p>
    <w:p w14:paraId="42575A31" w14:textId="77777777" w:rsidR="00A369EE" w:rsidRPr="00EA175D" w:rsidRDefault="00F45342" w:rsidP="00EA175D">
      <w:pPr>
        <w:spacing w:line="360" w:lineRule="auto"/>
        <w:ind w:firstLine="567"/>
        <w:jc w:val="both"/>
        <w:rPr>
          <w:lang w:val="en-GB"/>
        </w:rPr>
      </w:pPr>
      <w:r w:rsidRPr="00EA175D">
        <w:rPr>
          <w:lang w:val="it-IT" w:eastAsia="it-IT"/>
        </w:rPr>
        <w:lastRenderedPageBreak/>
        <w:drawing>
          <wp:inline distT="0" distB="0" distL="0" distR="0" wp14:anchorId="3A986DD9" wp14:editId="04BAFE32">
            <wp:extent cx="4572000" cy="2743200"/>
            <wp:effectExtent l="0" t="0" r="19050" b="1905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C2BECD2" w14:textId="77777777" w:rsidR="00F45342" w:rsidRPr="00EA175D" w:rsidRDefault="00F45342" w:rsidP="00EA175D">
      <w:pPr>
        <w:spacing w:line="360" w:lineRule="auto"/>
        <w:ind w:firstLine="567"/>
        <w:jc w:val="both"/>
        <w:rPr>
          <w:lang w:val="en-GB"/>
        </w:rPr>
      </w:pPr>
    </w:p>
    <w:p w14:paraId="2C28FC5F" w14:textId="77777777" w:rsidR="00F45342" w:rsidRPr="00EA175D" w:rsidRDefault="00B053EB" w:rsidP="00EA175D">
      <w:pPr>
        <w:spacing w:line="360" w:lineRule="auto"/>
        <w:ind w:firstLine="567"/>
        <w:jc w:val="both"/>
      </w:pPr>
      <w:r w:rsidRPr="00EA175D">
        <w:t xml:space="preserve">Видно от представената информация степента на договаряне на средствата от стратегиите за ВОМР, осигурени по ОПИК 2014 – 2020 г. е висока, което е показател за високото качество на работа от страна на Управляващия орган. Постигнатите нива на обработка на процедурите и проектните предложения, както и на сключването на договори представляват добра основа за успешното прилагане на стратегиите за ВОМР, включващи финансиране от ОПИК.   </w:t>
      </w:r>
    </w:p>
    <w:p w14:paraId="3B669850" w14:textId="77777777" w:rsidR="00665A7A" w:rsidRPr="00EA175D" w:rsidRDefault="00665A7A" w:rsidP="00EA175D">
      <w:pPr>
        <w:spacing w:line="360" w:lineRule="auto"/>
        <w:ind w:firstLine="567"/>
        <w:jc w:val="both"/>
      </w:pPr>
    </w:p>
    <w:p w14:paraId="69EDF9B2" w14:textId="77777777" w:rsidR="008A2AD7" w:rsidRPr="00EA175D" w:rsidRDefault="008A2AD7" w:rsidP="00EA175D">
      <w:pPr>
        <w:spacing w:line="360" w:lineRule="auto"/>
        <w:ind w:firstLine="567"/>
        <w:jc w:val="both"/>
        <w:rPr>
          <w:b/>
          <w:u w:val="single"/>
        </w:rPr>
      </w:pPr>
      <w:r w:rsidRPr="00EA175D">
        <w:rPr>
          <w:b/>
          <w:u w:val="single"/>
        </w:rPr>
        <w:t xml:space="preserve">Оперативна програмата „Развитие на човешките ресурси“ 2014 – 2020 </w:t>
      </w:r>
      <w:r w:rsidR="00665A7A" w:rsidRPr="00EA175D">
        <w:rPr>
          <w:b/>
          <w:u w:val="single"/>
        </w:rPr>
        <w:t>г.</w:t>
      </w:r>
    </w:p>
    <w:p w14:paraId="69910A30" w14:textId="77777777" w:rsidR="008A2AD7" w:rsidRPr="00EA175D" w:rsidRDefault="008A2AD7" w:rsidP="00EA175D">
      <w:pPr>
        <w:spacing w:line="360" w:lineRule="auto"/>
        <w:ind w:firstLine="567"/>
        <w:jc w:val="both"/>
      </w:pPr>
      <w:r w:rsidRPr="00EA175D">
        <w:t>В изпълнение на подхода ВОМР по ОПРЧР се изпълняват общо 34 стратегии на МИГ, одобрени по двете покани за подбор с финансиране от ОПРЧР 2014</w:t>
      </w:r>
      <w:r w:rsidR="00C6207E" w:rsidRPr="00EA175D">
        <w:t xml:space="preserve"> – </w:t>
      </w:r>
      <w:r w:rsidRPr="00EA175D">
        <w:t>2020</w:t>
      </w:r>
      <w:r w:rsidR="00C6207E" w:rsidRPr="00EA175D">
        <w:t xml:space="preserve"> г</w:t>
      </w:r>
      <w:r w:rsidRPr="00EA175D">
        <w:t>. С всички одобрени 34 МИГ са подписани споразумения за изпълнение на одобрените CBOMP с обща стойност на финансирането от ОПРЧР в размер на 45 324 223 л</w:t>
      </w:r>
      <w:r w:rsidR="00C6207E" w:rsidRPr="00EA175D">
        <w:t>в. Стратегиите за ВОМР по тези с</w:t>
      </w:r>
      <w:r w:rsidRPr="00EA175D">
        <w:t>поразумения обхващат общо 64 общини в страната.</w:t>
      </w:r>
    </w:p>
    <w:p w14:paraId="7C40BC2F" w14:textId="77777777" w:rsidR="008A2AD7" w:rsidRPr="00EA175D" w:rsidRDefault="008A2AD7" w:rsidP="00EA175D">
      <w:pPr>
        <w:spacing w:line="360" w:lineRule="auto"/>
        <w:ind w:firstLine="567"/>
        <w:jc w:val="both"/>
      </w:pPr>
      <w:r w:rsidRPr="00EA175D">
        <w:t>Тридесет и четирите СВОМР предвиждат реализация на общо 116 мерки на МИГ по приоритетна ос 1 и 2 на ОПРЧР 2014</w:t>
      </w:r>
      <w:r w:rsidR="00C6207E" w:rsidRPr="00EA175D">
        <w:t xml:space="preserve"> – </w:t>
      </w:r>
      <w:r w:rsidRPr="00EA175D">
        <w:t>2020</w:t>
      </w:r>
      <w:r w:rsidR="00C6207E" w:rsidRPr="00EA175D">
        <w:t xml:space="preserve"> г</w:t>
      </w:r>
      <w:r w:rsidRPr="00EA175D">
        <w:t>. По част от мерките са обявени повече от една процедури, с цел постигане на по-високо ниво на изпълнение по съответната мярка. Към 30.09.2021</w:t>
      </w:r>
      <w:r w:rsidR="00F854E7" w:rsidRPr="00EA175D">
        <w:t xml:space="preserve"> </w:t>
      </w:r>
      <w:r w:rsidRPr="00EA175D">
        <w:t>г., са пр</w:t>
      </w:r>
      <w:r w:rsidR="00493FEB" w:rsidRPr="00EA175D">
        <w:t>иключени 17</w:t>
      </w:r>
      <w:r w:rsidR="00F1518D" w:rsidRPr="00EA175D">
        <w:t>4</w:t>
      </w:r>
      <w:r w:rsidR="00F854E7" w:rsidRPr="00EA175D">
        <w:t xml:space="preserve"> </w:t>
      </w:r>
      <w:r w:rsidRPr="00EA175D">
        <w:t xml:space="preserve">процедури на МИГ за подбор на проектни </w:t>
      </w:r>
      <w:r w:rsidRPr="00EA175D">
        <w:lastRenderedPageBreak/>
        <w:t xml:space="preserve">предложения, като по някои от мерките са отворени за кандидатстване по две или по три процедури, с цел да се даде възможност за по-добро изпълнение на заложените в </w:t>
      </w:r>
      <w:r w:rsidR="00F854E7" w:rsidRPr="00EA175D">
        <w:t>с</w:t>
      </w:r>
      <w:r w:rsidRPr="00EA175D">
        <w:t>тратегиите цели на местните общности и ресурсът от ОПРЧР, предназначен за ВОМР, да достигне до крайните целеви групи на програмата в съответните територии в отговор на идентифицираните в СВОМР техни потребности.</w:t>
      </w:r>
    </w:p>
    <w:p w14:paraId="5A8054BA" w14:textId="77777777" w:rsidR="008A2AD7" w:rsidRPr="00EA175D" w:rsidRDefault="008A2AD7" w:rsidP="00EA175D">
      <w:pPr>
        <w:spacing w:line="360" w:lineRule="auto"/>
        <w:ind w:firstLine="567"/>
        <w:jc w:val="both"/>
      </w:pPr>
      <w:r w:rsidRPr="00EA175D">
        <w:t>Към 30.09.2021</w:t>
      </w:r>
      <w:r w:rsidR="00F854E7" w:rsidRPr="00EA175D">
        <w:t xml:space="preserve"> </w:t>
      </w:r>
      <w:r w:rsidRPr="00EA175D">
        <w:t>г. няма мярка в 34-те СВОМР с финансиране от ОПРЧР 2014</w:t>
      </w:r>
      <w:r w:rsidR="00F854E7" w:rsidRPr="00EA175D">
        <w:t xml:space="preserve"> – </w:t>
      </w:r>
      <w:r w:rsidRPr="00EA175D">
        <w:t>2020</w:t>
      </w:r>
      <w:r w:rsidR="00F854E7" w:rsidRPr="00EA175D">
        <w:t xml:space="preserve"> г.</w:t>
      </w:r>
      <w:r w:rsidRPr="00EA175D">
        <w:t xml:space="preserve">, по която да не е отворена процедура за подбор на проектни предложения въз основа на подготвени от МИГ </w:t>
      </w:r>
      <w:r w:rsidR="00F854E7" w:rsidRPr="00EA175D">
        <w:t>у</w:t>
      </w:r>
      <w:r w:rsidRPr="00EA175D">
        <w:t xml:space="preserve">словия за кандидатстване. По приключилите 172 процедури са постъпили 466 проектни предложения, като 21 проектни предложения са оттеглени. </w:t>
      </w:r>
    </w:p>
    <w:p w14:paraId="083F54F1" w14:textId="77777777" w:rsidR="008A2AD7" w:rsidRPr="00EA175D" w:rsidRDefault="008A2AD7" w:rsidP="00EA175D">
      <w:pPr>
        <w:spacing w:line="360" w:lineRule="auto"/>
        <w:ind w:firstLine="567"/>
        <w:jc w:val="both"/>
      </w:pPr>
      <w:r w:rsidRPr="00EA175D">
        <w:t>УО на ОПРЧР извършва проверки за спазване на процедурите за подбор на проекти на МИГ в срок от един месец от получаването на оценителните доклади, в изпълнение на разпоредбите на чл. 47, ал. 1 на ПМС № 161/2016. На основа на одобрените доклади в периода са сключени общо 297 административни договора на обща стойност, като размерът на договорената безвъзмезна финансова помощ е 38 787 903,25 лева. Това означава, че 85,58 % от бюджета по ОПРЧР е договорен.</w:t>
      </w:r>
    </w:p>
    <w:p w14:paraId="00AA4E36" w14:textId="77777777" w:rsidR="00A15A58" w:rsidRPr="00EA175D" w:rsidRDefault="00A15A58" w:rsidP="00EA175D">
      <w:pPr>
        <w:spacing w:line="360" w:lineRule="auto"/>
        <w:ind w:firstLine="567"/>
        <w:jc w:val="both"/>
      </w:pPr>
    </w:p>
    <w:p w14:paraId="20872AFC" w14:textId="77777777" w:rsidR="00A15A58" w:rsidRPr="00EA175D" w:rsidRDefault="00A15A58" w:rsidP="00EA175D">
      <w:pPr>
        <w:spacing w:line="360" w:lineRule="auto"/>
        <w:ind w:firstLine="567"/>
        <w:jc w:val="both"/>
      </w:pPr>
      <w:r w:rsidRPr="00EA175D">
        <w:t>Графика. Степен на договаряне на средствата по ОПРЧР 2014 – 2020 г. по подмярка 19.2.</w:t>
      </w:r>
    </w:p>
    <w:p w14:paraId="7C88D651" w14:textId="77777777" w:rsidR="00393E13" w:rsidRPr="00EA175D" w:rsidRDefault="00393E13" w:rsidP="00EA175D">
      <w:pPr>
        <w:spacing w:line="360" w:lineRule="auto"/>
        <w:ind w:firstLine="567"/>
        <w:jc w:val="both"/>
      </w:pPr>
      <w:r w:rsidRPr="00EA175D">
        <w:rPr>
          <w:lang w:val="it-IT" w:eastAsia="it-IT"/>
        </w:rPr>
        <w:drawing>
          <wp:inline distT="0" distB="0" distL="0" distR="0" wp14:anchorId="14B667E8" wp14:editId="34BCFB69">
            <wp:extent cx="4572000" cy="2743200"/>
            <wp:effectExtent l="0" t="0" r="19050" b="19050"/>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892E5CA" w14:textId="77777777" w:rsidR="00393E13" w:rsidRPr="00EA175D" w:rsidRDefault="00393E13" w:rsidP="00EA175D">
      <w:pPr>
        <w:spacing w:line="360" w:lineRule="auto"/>
        <w:ind w:firstLine="567"/>
        <w:jc w:val="both"/>
      </w:pPr>
    </w:p>
    <w:p w14:paraId="26863819" w14:textId="77777777" w:rsidR="00393E13" w:rsidRPr="00EA175D" w:rsidRDefault="00393E13" w:rsidP="00EA175D">
      <w:pPr>
        <w:spacing w:line="360" w:lineRule="auto"/>
        <w:ind w:firstLine="567"/>
        <w:jc w:val="both"/>
      </w:pPr>
      <w:r w:rsidRPr="00EA175D">
        <w:t xml:space="preserve">Към момента на изготвяне на настоящата оценка по ОПРЧР 2014 – 2020 </w:t>
      </w:r>
      <w:r w:rsidR="00BD5736" w:rsidRPr="00EA175D">
        <w:t>г. е постигната</w:t>
      </w:r>
      <w:r w:rsidRPr="00EA175D">
        <w:t xml:space="preserve"> най-високата степен на договаряне по подхода ВОМР – 85,58%. УО на ОПРЧР 2014 – 2020 г. е отделил необходимите ресурси (административен и технически капацитет) за прилагане на подхода ВОМР, като по този начин е създал отлични условия за успешното прилагане на стратегиите за ВОМР, включващи средства по ОПРЧР</w:t>
      </w:r>
      <w:r w:rsidR="00B17618" w:rsidRPr="00EA175D">
        <w:t xml:space="preserve"> и е допринесъл за развитието на </w:t>
      </w:r>
      <w:r w:rsidR="00D3416F" w:rsidRPr="00EA175D">
        <w:t xml:space="preserve">съответните </w:t>
      </w:r>
      <w:r w:rsidR="00B17618" w:rsidRPr="00EA175D">
        <w:t>местни общности</w:t>
      </w:r>
      <w:r w:rsidRPr="00EA175D">
        <w:t xml:space="preserve">. </w:t>
      </w:r>
    </w:p>
    <w:p w14:paraId="0622D607" w14:textId="77777777" w:rsidR="008A2AD7" w:rsidRPr="00EA175D" w:rsidRDefault="008A2AD7" w:rsidP="00EA175D">
      <w:pPr>
        <w:spacing w:line="360" w:lineRule="auto"/>
        <w:ind w:firstLine="567"/>
        <w:jc w:val="both"/>
      </w:pPr>
    </w:p>
    <w:p w14:paraId="01796DD7" w14:textId="77777777" w:rsidR="008A2AD7" w:rsidRPr="00EA175D" w:rsidRDefault="008A2AD7" w:rsidP="00EA175D">
      <w:pPr>
        <w:spacing w:line="360" w:lineRule="auto"/>
        <w:ind w:firstLine="567"/>
        <w:jc w:val="both"/>
        <w:rPr>
          <w:b/>
          <w:u w:val="single"/>
        </w:rPr>
      </w:pPr>
      <w:r w:rsidRPr="00EA175D">
        <w:rPr>
          <w:b/>
          <w:u w:val="single"/>
        </w:rPr>
        <w:t>Оперативна програма „Наука и образование за интелигентен растеж“ 2014 – 2020</w:t>
      </w:r>
      <w:r w:rsidR="005B0BD4" w:rsidRPr="00EA175D">
        <w:rPr>
          <w:b/>
          <w:u w:val="single"/>
        </w:rPr>
        <w:t xml:space="preserve"> г.</w:t>
      </w:r>
    </w:p>
    <w:p w14:paraId="2A77736D" w14:textId="77777777" w:rsidR="008A2AD7" w:rsidRPr="00EA175D" w:rsidRDefault="008A2AD7" w:rsidP="00EA175D">
      <w:pPr>
        <w:spacing w:line="360" w:lineRule="auto"/>
        <w:ind w:firstLine="567"/>
        <w:jc w:val="both"/>
      </w:pPr>
      <w:r w:rsidRPr="00EA175D">
        <w:t>В изпълнение на подхода ВОМР по ОПНОИР се изпълняват общо 12 стратегии на МИГ, одобрени по втора покана за подбор с финансиране от ОПНОИР 2014</w:t>
      </w:r>
      <w:r w:rsidR="003C4892" w:rsidRPr="00EA175D">
        <w:t xml:space="preserve"> – </w:t>
      </w:r>
      <w:r w:rsidRPr="00EA175D">
        <w:t>2020</w:t>
      </w:r>
      <w:r w:rsidR="003C4892" w:rsidRPr="00EA175D">
        <w:t xml:space="preserve"> г</w:t>
      </w:r>
      <w:r w:rsidRPr="00EA175D">
        <w:t xml:space="preserve">. Оперативната програма не е предоставила финансов ресурс в първата покана за подбор на стратегии за ВОМР. С всички одобрени 12 МИГ са подписани споразумения за изпълнение на одобрените CBOMP с обща стойност на финансирането от ОПНОИР </w:t>
      </w:r>
      <w:r w:rsidR="00466F15" w:rsidRPr="00EA175D">
        <w:t>2014 – 2020 г.</w:t>
      </w:r>
      <w:r w:rsidR="00466F15" w:rsidRPr="00F77584">
        <w:rPr>
          <w:lang w:val="ru-RU"/>
        </w:rPr>
        <w:t xml:space="preserve"> </w:t>
      </w:r>
      <w:r w:rsidRPr="00EA175D">
        <w:t xml:space="preserve">в размер на 10 153 634,80 лв. Стратегиите за ВОМР по тези </w:t>
      </w:r>
      <w:r w:rsidR="00466F15" w:rsidRPr="00EA175D">
        <w:t>с</w:t>
      </w:r>
      <w:r w:rsidRPr="00EA175D">
        <w:t>поразумения обхващат общо 21 общини в страната.</w:t>
      </w:r>
    </w:p>
    <w:p w14:paraId="4393D76B" w14:textId="77777777" w:rsidR="008A2AD7" w:rsidRPr="00EA175D" w:rsidRDefault="008A2AD7" w:rsidP="00EA175D">
      <w:pPr>
        <w:spacing w:line="360" w:lineRule="auto"/>
        <w:ind w:firstLine="567"/>
        <w:jc w:val="both"/>
      </w:pPr>
      <w:r w:rsidRPr="00EA175D">
        <w:t>Някои МИГ са обявили повече от една процедури, с цел постигане на по-високо ниво на изпълнение по съответната мярка. Към 30.09.2021</w:t>
      </w:r>
      <w:r w:rsidR="00466F15" w:rsidRPr="00EA175D">
        <w:t xml:space="preserve"> </w:t>
      </w:r>
      <w:r w:rsidRPr="00EA175D">
        <w:t xml:space="preserve">г., са проведени 16 процедури на МИГ за подбор на проектни предложения, като по някои от мерките са отворени за кандидатстване по две или по три процедури, с цел да се даде възможност за по-добро изпълнение на заложените в </w:t>
      </w:r>
      <w:r w:rsidR="00466F15" w:rsidRPr="00EA175D">
        <w:t>с</w:t>
      </w:r>
      <w:r w:rsidRPr="00EA175D">
        <w:t>тратегиите цели на местните общности и ресурсът от ОПНОИР, предназначен за ВОМР, да достигне до крайните целеви групи на програмата в съответните територии в отговор на идентифицираните в СВОМР техни потребности.</w:t>
      </w:r>
    </w:p>
    <w:p w14:paraId="19BBF968" w14:textId="77777777" w:rsidR="008A2AD7" w:rsidRPr="00EA175D" w:rsidRDefault="008A2AD7" w:rsidP="00EA175D">
      <w:pPr>
        <w:spacing w:line="360" w:lineRule="auto"/>
        <w:ind w:firstLine="567"/>
        <w:jc w:val="both"/>
      </w:pPr>
      <w:r w:rsidRPr="00EA175D">
        <w:t>Към 30.09.2021</w:t>
      </w:r>
      <w:r w:rsidR="00466F15" w:rsidRPr="00EA175D">
        <w:t xml:space="preserve"> </w:t>
      </w:r>
      <w:r w:rsidRPr="00EA175D">
        <w:t xml:space="preserve">г. няма мярка </w:t>
      </w:r>
      <w:r w:rsidR="00466F15" w:rsidRPr="00EA175D">
        <w:t>от</w:t>
      </w:r>
      <w:r w:rsidRPr="00EA175D">
        <w:t xml:space="preserve"> 12-те СВОМР с финансиране от ОПНОИР 2014-2020</w:t>
      </w:r>
      <w:r w:rsidR="00466F15" w:rsidRPr="00F77584">
        <w:rPr>
          <w:lang w:val="ru-RU"/>
        </w:rPr>
        <w:t xml:space="preserve"> </w:t>
      </w:r>
      <w:r w:rsidR="00466F15" w:rsidRPr="00EA175D">
        <w:t>г.</w:t>
      </w:r>
      <w:r w:rsidRPr="00EA175D">
        <w:t xml:space="preserve">, по която да не е отворена процедура за подбор на проектни предложения въз основа на подготвени от МИГ </w:t>
      </w:r>
      <w:r w:rsidR="00933933" w:rsidRPr="00EA175D">
        <w:t>у</w:t>
      </w:r>
      <w:r w:rsidRPr="00EA175D">
        <w:t xml:space="preserve">словия за кандидатстване. По приключилите 16 процедури са постъпили </w:t>
      </w:r>
      <w:r w:rsidR="00933933" w:rsidRPr="00EA175D">
        <w:t xml:space="preserve">общо </w:t>
      </w:r>
      <w:r w:rsidRPr="00EA175D">
        <w:t xml:space="preserve">66 проектни предложения, като едно проектно предложение е оттеглено. </w:t>
      </w:r>
    </w:p>
    <w:p w14:paraId="5B5BB830" w14:textId="77777777" w:rsidR="008A2AD7" w:rsidRPr="00EA175D" w:rsidRDefault="008A2AD7" w:rsidP="00EA175D">
      <w:pPr>
        <w:spacing w:line="360" w:lineRule="auto"/>
        <w:ind w:firstLine="567"/>
        <w:jc w:val="both"/>
      </w:pPr>
      <w:r w:rsidRPr="00EA175D">
        <w:lastRenderedPageBreak/>
        <w:t xml:space="preserve">УО на ОПНОИР </w:t>
      </w:r>
      <w:r w:rsidR="00933933" w:rsidRPr="00EA175D">
        <w:t xml:space="preserve">2014 – 2020 г. </w:t>
      </w:r>
      <w:r w:rsidRPr="00EA175D">
        <w:t xml:space="preserve">извършва проверки за спазване на процедурите за подбор на проекти на МИГ в срок от един месец от получаването на оценителните доклади, в изпълнение на разпоредбите на чл. 47, ал. 1 на ПМС № 161/2016. На основа на одобрените доклади в периода са сключени общо 49 административни договора, като размерът на договорената безвъзмезна финансова помощ е 7 944 197,62 лева. Това означава, че 78,24% от бюджета по ОПНОИР </w:t>
      </w:r>
      <w:r w:rsidR="00933933" w:rsidRPr="00EA175D">
        <w:t xml:space="preserve">2014 – 2020 г. </w:t>
      </w:r>
      <w:r w:rsidRPr="00EA175D">
        <w:t>е договорен.</w:t>
      </w:r>
    </w:p>
    <w:p w14:paraId="68B5E61F" w14:textId="77777777" w:rsidR="00933933" w:rsidRPr="00EA175D" w:rsidRDefault="00933933" w:rsidP="00EA175D">
      <w:pPr>
        <w:spacing w:line="360" w:lineRule="auto"/>
        <w:ind w:firstLine="567"/>
        <w:jc w:val="both"/>
      </w:pPr>
      <w:r w:rsidRPr="00EA175D">
        <w:t>Графика. Степен на договаряне на средствата по ОПНОИР 2014 – 2020 г. по подмярка 19.2.</w:t>
      </w:r>
    </w:p>
    <w:p w14:paraId="254A278D" w14:textId="77777777" w:rsidR="00933933" w:rsidRPr="00EA175D" w:rsidRDefault="005245E7" w:rsidP="00EA175D">
      <w:pPr>
        <w:spacing w:line="360" w:lineRule="auto"/>
        <w:ind w:firstLine="567"/>
        <w:jc w:val="both"/>
      </w:pPr>
      <w:r w:rsidRPr="00EA175D">
        <w:rPr>
          <w:lang w:val="it-IT" w:eastAsia="it-IT"/>
        </w:rPr>
        <w:drawing>
          <wp:inline distT="0" distB="0" distL="0" distR="0" wp14:anchorId="5105B399" wp14:editId="62C7E738">
            <wp:extent cx="4572000" cy="2743200"/>
            <wp:effectExtent l="0" t="0" r="19050" b="19050"/>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28DC2278" w14:textId="77777777" w:rsidR="008A2AD7" w:rsidRPr="00EA175D" w:rsidRDefault="008A2AD7" w:rsidP="00EA175D">
      <w:pPr>
        <w:spacing w:line="360" w:lineRule="auto"/>
        <w:ind w:firstLine="567"/>
        <w:jc w:val="both"/>
      </w:pPr>
    </w:p>
    <w:p w14:paraId="20230BB2" w14:textId="77777777" w:rsidR="00BD5736" w:rsidRPr="00EA175D" w:rsidRDefault="00BD5736" w:rsidP="00EA175D">
      <w:pPr>
        <w:spacing w:line="360" w:lineRule="auto"/>
        <w:ind w:firstLine="567"/>
        <w:jc w:val="both"/>
      </w:pPr>
      <w:r w:rsidRPr="00EA175D">
        <w:t xml:space="preserve">Към момента на изготвяне на настоящата оценка по ОПНОИР 2014 – 2020 г. е постигната </w:t>
      </w:r>
      <w:r w:rsidR="00256BE1" w:rsidRPr="00EA175D">
        <w:t xml:space="preserve">втората </w:t>
      </w:r>
      <w:r w:rsidRPr="00EA175D">
        <w:t xml:space="preserve">най-високата степен на договаряне по подхода ВОМР – </w:t>
      </w:r>
      <w:r w:rsidR="00256BE1" w:rsidRPr="00EA175D">
        <w:t>78</w:t>
      </w:r>
      <w:r w:rsidRPr="00EA175D">
        <w:t>,</w:t>
      </w:r>
      <w:r w:rsidR="00256BE1" w:rsidRPr="00EA175D">
        <w:t>24</w:t>
      </w:r>
      <w:r w:rsidRPr="00EA175D">
        <w:t xml:space="preserve">%. УО на </w:t>
      </w:r>
      <w:r w:rsidR="00256BE1" w:rsidRPr="00EA175D">
        <w:t>ОПНОИР</w:t>
      </w:r>
      <w:r w:rsidRPr="00EA175D">
        <w:t xml:space="preserve"> 2014 – 2020 г. е </w:t>
      </w:r>
      <w:r w:rsidR="00256BE1" w:rsidRPr="00EA175D">
        <w:t xml:space="preserve">създал необходимите условия за работа с МИГ и за </w:t>
      </w:r>
      <w:r w:rsidRPr="00EA175D">
        <w:t>успешното прилагане на стратегиите за ВОМР, включващи средства по ОП</w:t>
      </w:r>
      <w:r w:rsidR="00256BE1" w:rsidRPr="00EA175D">
        <w:t>НОИР</w:t>
      </w:r>
      <w:r w:rsidR="00DE5AC4" w:rsidRPr="00EA175D">
        <w:t xml:space="preserve"> 2014 – 2020 г.</w:t>
      </w:r>
      <w:r w:rsidR="00256BE1" w:rsidRPr="00EA175D">
        <w:t>, като по този начин</w:t>
      </w:r>
      <w:r w:rsidRPr="00EA175D">
        <w:t xml:space="preserve"> е допринесъл за развитието на съответните местни общности</w:t>
      </w:r>
      <w:r w:rsidR="00256BE1" w:rsidRPr="00EA175D">
        <w:t>, включили финансиране от програмата в своите стратегии</w:t>
      </w:r>
      <w:r w:rsidRPr="00EA175D">
        <w:t>.</w:t>
      </w:r>
    </w:p>
    <w:p w14:paraId="7B8464AE" w14:textId="77777777" w:rsidR="00256BE1" w:rsidRPr="00EA175D" w:rsidRDefault="00256BE1" w:rsidP="00EA175D">
      <w:pPr>
        <w:spacing w:line="360" w:lineRule="auto"/>
        <w:ind w:firstLine="567"/>
        <w:jc w:val="both"/>
      </w:pPr>
      <w:r w:rsidRPr="00EA175D">
        <w:t xml:space="preserve">Въпреки високата степен на договаряне следва да се има предвид, че при навременно участие по първия прием на стратегии по подмярка 19.2, ОПНОИР </w:t>
      </w:r>
      <w:r w:rsidR="00DE5AC4" w:rsidRPr="00EA175D">
        <w:t xml:space="preserve">2014 – </w:t>
      </w:r>
      <w:r w:rsidR="00DE5AC4" w:rsidRPr="00EA175D">
        <w:lastRenderedPageBreak/>
        <w:t xml:space="preserve">2020 г. </w:t>
      </w:r>
      <w:r w:rsidRPr="00EA175D">
        <w:t xml:space="preserve">би могла да бъде представена на по-голяма територия и да допринесе и подкрети развитието на по-голям брой хора. </w:t>
      </w:r>
    </w:p>
    <w:p w14:paraId="2117702F" w14:textId="77777777" w:rsidR="00BD5736" w:rsidRPr="00EA175D" w:rsidRDefault="00BD5736" w:rsidP="00EA175D">
      <w:pPr>
        <w:spacing w:line="360" w:lineRule="auto"/>
        <w:ind w:firstLine="567"/>
        <w:jc w:val="both"/>
      </w:pPr>
    </w:p>
    <w:p w14:paraId="1B37700D" w14:textId="77777777" w:rsidR="008A2AD7" w:rsidRPr="00EA175D" w:rsidRDefault="008A2AD7" w:rsidP="00EA175D">
      <w:pPr>
        <w:spacing w:line="360" w:lineRule="auto"/>
        <w:ind w:firstLine="567"/>
        <w:jc w:val="both"/>
        <w:rPr>
          <w:b/>
          <w:u w:val="single"/>
        </w:rPr>
      </w:pPr>
      <w:r w:rsidRPr="00EA175D">
        <w:rPr>
          <w:b/>
          <w:u w:val="single"/>
        </w:rPr>
        <w:t>Оперативна програма „Околна среда“ 2014 – 2020</w:t>
      </w:r>
      <w:r w:rsidR="005B0BD4" w:rsidRPr="00EA175D">
        <w:rPr>
          <w:b/>
          <w:u w:val="single"/>
        </w:rPr>
        <w:t xml:space="preserve"> г.</w:t>
      </w:r>
      <w:r w:rsidRPr="00EA175D">
        <w:rPr>
          <w:b/>
          <w:u w:val="single"/>
        </w:rPr>
        <w:t xml:space="preserve"> </w:t>
      </w:r>
    </w:p>
    <w:p w14:paraId="38D2664F" w14:textId="77777777" w:rsidR="008A2AD7" w:rsidRPr="00EA175D" w:rsidRDefault="008A2AD7" w:rsidP="00EA175D">
      <w:pPr>
        <w:spacing w:line="360" w:lineRule="auto"/>
        <w:ind w:firstLine="567"/>
        <w:jc w:val="both"/>
      </w:pPr>
      <w:r w:rsidRPr="00EA175D">
        <w:t xml:space="preserve">В изпълнение на подхода ВОМР по ОПОС </w:t>
      </w:r>
      <w:r w:rsidR="0012292A" w:rsidRPr="00F77584">
        <w:rPr>
          <w:lang w:val="ru-RU"/>
        </w:rPr>
        <w:t xml:space="preserve">2014 – 2020 </w:t>
      </w:r>
      <w:r w:rsidR="0012292A" w:rsidRPr="00EA175D">
        <w:t>г.</w:t>
      </w:r>
      <w:r w:rsidRPr="00EA175D">
        <w:t xml:space="preserve"> се изпълняват общо 9 стратегии на МИГ, одобрени по първа и втора покана за подбор </w:t>
      </w:r>
      <w:r w:rsidR="0012292A" w:rsidRPr="00EA175D">
        <w:t>на стратегии по подмярка 19.2</w:t>
      </w:r>
      <w:r w:rsidRPr="00EA175D">
        <w:t xml:space="preserve">. С всички одобрени 9 МИГ са подписани споразумения за изпълнение на одобрените CBOMP с обща стойност на финансирането от ОПОС </w:t>
      </w:r>
      <w:r w:rsidR="0012292A" w:rsidRPr="00EA175D">
        <w:t xml:space="preserve">2014 – 2020 г. </w:t>
      </w:r>
      <w:r w:rsidRPr="00EA175D">
        <w:t>в размер на 13 472 431,06 лв. Стратегиите за ВОМР по тези Споразумения обхващат общо 13 общини в страната.</w:t>
      </w:r>
    </w:p>
    <w:p w14:paraId="7AABB864" w14:textId="77777777" w:rsidR="008A2AD7" w:rsidRPr="00EA175D" w:rsidRDefault="008A2AD7" w:rsidP="00EA175D">
      <w:pPr>
        <w:spacing w:line="360" w:lineRule="auto"/>
        <w:ind w:firstLine="567"/>
        <w:jc w:val="both"/>
      </w:pPr>
      <w:r w:rsidRPr="00EA175D">
        <w:t>Към 30.09.2021</w:t>
      </w:r>
      <w:r w:rsidR="00DE5AC4" w:rsidRPr="00EA175D">
        <w:t xml:space="preserve"> </w:t>
      </w:r>
      <w:r w:rsidRPr="00EA175D">
        <w:t>г., са проведени 12 процедури на МИГ за подбор на проектни предложения, като по някои от МИГ са отворяли по повече от една процедур</w:t>
      </w:r>
      <w:r w:rsidR="00DE5AC4" w:rsidRPr="00EA175D">
        <w:t>а</w:t>
      </w:r>
      <w:r w:rsidRPr="00EA175D">
        <w:t xml:space="preserve">, с цел да се даде възможност за по-добро изпълнение на заложените в </w:t>
      </w:r>
      <w:r w:rsidR="00DE5AC4" w:rsidRPr="00EA175D">
        <w:t>с</w:t>
      </w:r>
      <w:r w:rsidRPr="00EA175D">
        <w:t>тратегиите цели на местните общности и ресурсът от ОПОС</w:t>
      </w:r>
      <w:r w:rsidR="00DE5AC4" w:rsidRPr="00EA175D">
        <w:t xml:space="preserve"> 2014 – 2020 г.</w:t>
      </w:r>
      <w:r w:rsidRPr="00EA175D">
        <w:t xml:space="preserve">, предназначен за ВОМР, да достигне до крайните целеви групи на програмата в съответните територии в отговор на идентифицираните в СВОМР техни потребности. </w:t>
      </w:r>
      <w:r w:rsidR="00DE5AC4" w:rsidRPr="00EA175D">
        <w:t>Към момента на извършване на настоящата оценка 2</w:t>
      </w:r>
      <w:r w:rsidRPr="00EA175D">
        <w:t xml:space="preserve"> процедури са в процес на оценка.</w:t>
      </w:r>
    </w:p>
    <w:p w14:paraId="28CDD069" w14:textId="77777777" w:rsidR="008A2AD7" w:rsidRPr="00EA175D" w:rsidRDefault="008A2AD7" w:rsidP="00EA175D">
      <w:pPr>
        <w:spacing w:line="360" w:lineRule="auto"/>
        <w:ind w:firstLine="567"/>
        <w:jc w:val="both"/>
      </w:pPr>
      <w:r w:rsidRPr="00EA175D">
        <w:t>Към 30.09.2021</w:t>
      </w:r>
      <w:r w:rsidR="00DE5AC4" w:rsidRPr="00EA175D">
        <w:t xml:space="preserve"> </w:t>
      </w:r>
      <w:r w:rsidRPr="00EA175D">
        <w:t>г. няма мярка в 9-те СВОМР с финансиране от ОПОС 2014</w:t>
      </w:r>
      <w:r w:rsidR="00DE5AC4" w:rsidRPr="00EA175D">
        <w:t xml:space="preserve"> – </w:t>
      </w:r>
      <w:r w:rsidRPr="00EA175D">
        <w:t>2020</w:t>
      </w:r>
      <w:r w:rsidR="00DE5AC4" w:rsidRPr="00EA175D">
        <w:t xml:space="preserve"> г.</w:t>
      </w:r>
      <w:r w:rsidRPr="00EA175D">
        <w:t xml:space="preserve">, по която да не е отворена процедура за подбор на проектни предложения въз основа на подготвени от МИГ </w:t>
      </w:r>
      <w:r w:rsidR="00DE5AC4" w:rsidRPr="00EA175D">
        <w:t>у</w:t>
      </w:r>
      <w:r w:rsidRPr="00EA175D">
        <w:t xml:space="preserve">словия за кандидатстване. По приключилите 12 процедури са постъпили 16 проектни предложения, като няма оттеглени проектни предложения. </w:t>
      </w:r>
    </w:p>
    <w:p w14:paraId="7AC11E30" w14:textId="77777777" w:rsidR="00CB1DBC" w:rsidRPr="00EA175D" w:rsidRDefault="008A2AD7" w:rsidP="00EA175D">
      <w:pPr>
        <w:spacing w:line="360" w:lineRule="auto"/>
        <w:ind w:firstLine="567"/>
        <w:jc w:val="both"/>
      </w:pPr>
      <w:r w:rsidRPr="00EA175D">
        <w:t xml:space="preserve">УО на ОПОС </w:t>
      </w:r>
      <w:r w:rsidR="00DE5AC4" w:rsidRPr="00EA175D">
        <w:t xml:space="preserve">2014 – 2020 г. </w:t>
      </w:r>
      <w:r w:rsidRPr="00EA175D">
        <w:t>извършва проверки за спазване на процедурите за подбор на проекти на МИГ в срок от един месец от получаването на оценителните доклади, в изпълнение на разпоредбите на чл. 47, ал. 1 на ПМС № 161/2016. На основа на одобрените доклади в периода са сключени общо 9 административни договора, като размерът на договорената безвъзмезна финансова помощ е 10 313 545,11 лева. Това означава, че 76,55% от бюджета по ОПОС е договорен.</w:t>
      </w:r>
    </w:p>
    <w:p w14:paraId="5DB013AB" w14:textId="77777777" w:rsidR="00DE5AC4" w:rsidRPr="00EA175D" w:rsidRDefault="00DE5AC4" w:rsidP="00EA175D">
      <w:pPr>
        <w:spacing w:line="360" w:lineRule="auto"/>
        <w:ind w:firstLine="567"/>
        <w:jc w:val="both"/>
      </w:pPr>
    </w:p>
    <w:p w14:paraId="46EF6741" w14:textId="77777777" w:rsidR="00DE5AC4" w:rsidRPr="00EA175D" w:rsidRDefault="00DE5AC4" w:rsidP="00EA175D">
      <w:pPr>
        <w:spacing w:line="360" w:lineRule="auto"/>
        <w:ind w:firstLine="567"/>
        <w:jc w:val="both"/>
      </w:pPr>
      <w:r w:rsidRPr="00EA175D">
        <w:lastRenderedPageBreak/>
        <w:t>Графика. Степен на договаряне на средствата по ОПОС 2014 – 2020 г. по подмярка 19.2.</w:t>
      </w:r>
    </w:p>
    <w:p w14:paraId="6959042C" w14:textId="77777777" w:rsidR="00DE5AC4" w:rsidRPr="00EA175D" w:rsidRDefault="00DE5AC4" w:rsidP="00EA175D">
      <w:pPr>
        <w:spacing w:line="360" w:lineRule="auto"/>
        <w:ind w:firstLine="567"/>
        <w:jc w:val="both"/>
      </w:pPr>
      <w:r w:rsidRPr="00EA175D">
        <w:rPr>
          <w:lang w:val="it-IT" w:eastAsia="it-IT"/>
        </w:rPr>
        <w:drawing>
          <wp:inline distT="0" distB="0" distL="0" distR="0" wp14:anchorId="29FE4C1A" wp14:editId="1BBA457C">
            <wp:extent cx="4572000" cy="2743200"/>
            <wp:effectExtent l="0" t="0" r="19050" b="19050"/>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7020AD7" w14:textId="77777777" w:rsidR="00DE5AC4" w:rsidRPr="00EA175D" w:rsidRDefault="00DE5AC4" w:rsidP="00EA175D">
      <w:pPr>
        <w:spacing w:line="360" w:lineRule="auto"/>
        <w:ind w:firstLine="567"/>
        <w:jc w:val="both"/>
      </w:pPr>
    </w:p>
    <w:p w14:paraId="4466A170" w14:textId="77777777" w:rsidR="00DE5AC4" w:rsidRPr="00EA175D" w:rsidRDefault="00DE5AC4" w:rsidP="00EA175D">
      <w:pPr>
        <w:spacing w:line="360" w:lineRule="auto"/>
        <w:ind w:firstLine="567"/>
        <w:jc w:val="both"/>
      </w:pPr>
      <w:r w:rsidRPr="00EA175D">
        <w:t xml:space="preserve">Към момента на изготвяне на настоящата оценка по ОПОС 2014 – 2020 г. е постигната висока степен на договаряне по подхода ВОМР – 76,55%. УО на ОПОС 2014 – 2020 г. е създал необходимите условия за работа с МИГ и за успешното прилагане на стратегиите за ВОМР, включващи средства по ОПОС 2014 – 2020 г., като по този начин </w:t>
      </w:r>
      <w:r w:rsidR="00C31E70" w:rsidRPr="00EA175D">
        <w:t xml:space="preserve">са осигурени средства за запазване и съхранение на </w:t>
      </w:r>
      <w:r w:rsidRPr="00EA175D">
        <w:t>раз</w:t>
      </w:r>
      <w:r w:rsidR="00C31E70" w:rsidRPr="00EA175D">
        <w:t>личните животински видове</w:t>
      </w:r>
      <w:r w:rsidRPr="00EA175D">
        <w:t xml:space="preserve"> на </w:t>
      </w:r>
      <w:r w:rsidR="00C31E70" w:rsidRPr="00EA175D">
        <w:t xml:space="preserve">териториите на </w:t>
      </w:r>
      <w:r w:rsidRPr="00EA175D">
        <w:t>съответните местни общности, включили финансиране от програмата в своите стратегии.</w:t>
      </w:r>
    </w:p>
    <w:p w14:paraId="304C1C88" w14:textId="77777777" w:rsidR="00E97764" w:rsidRPr="00EA175D" w:rsidRDefault="00E97764" w:rsidP="00EA175D">
      <w:pPr>
        <w:spacing w:line="360" w:lineRule="auto"/>
        <w:ind w:firstLine="567"/>
        <w:jc w:val="both"/>
      </w:pPr>
    </w:p>
    <w:p w14:paraId="72EF54E3" w14:textId="77777777" w:rsidR="007B0C98" w:rsidRPr="00EA175D" w:rsidRDefault="007B0C98" w:rsidP="00EA175D">
      <w:pPr>
        <w:spacing w:line="360" w:lineRule="auto"/>
        <w:ind w:firstLine="567"/>
        <w:jc w:val="both"/>
        <w:rPr>
          <w:b/>
          <w:u w:val="single"/>
        </w:rPr>
      </w:pPr>
      <w:r w:rsidRPr="00EA175D">
        <w:rPr>
          <w:b/>
          <w:u w:val="single"/>
        </w:rPr>
        <w:t>Договоране на средствата по подхода ВОМР</w:t>
      </w:r>
    </w:p>
    <w:p w14:paraId="62986D3E" w14:textId="7AEEE598" w:rsidR="007B0C98" w:rsidRPr="00EA175D" w:rsidRDefault="007B0C98" w:rsidP="00EA175D">
      <w:pPr>
        <w:spacing w:line="360" w:lineRule="auto"/>
        <w:ind w:firstLine="567"/>
        <w:jc w:val="both"/>
      </w:pPr>
      <w:r w:rsidRPr="00EA175D">
        <w:t>От представената в настоящата част на оценката информация се вижда, че по подхода ВОМР е отбелязан значителен напредък по отношение на договар</w:t>
      </w:r>
      <w:r w:rsidR="005F5448">
        <w:t>я</w:t>
      </w:r>
      <w:r w:rsidRPr="00EA175D">
        <w:t>нето на средствата от стратегиите за ВОМР към крайни бенефициенти – частни фирми и земеделски стопани, непра</w:t>
      </w:r>
      <w:r w:rsidR="005F5448">
        <w:t>вит</w:t>
      </w:r>
      <w:r w:rsidRPr="00EA175D">
        <w:t>елствени организации, общини, МИГ и др.</w:t>
      </w:r>
    </w:p>
    <w:p w14:paraId="0CA3C934" w14:textId="77777777" w:rsidR="00D21D5D" w:rsidRPr="00EA175D" w:rsidRDefault="00D21D5D" w:rsidP="00EA175D">
      <w:pPr>
        <w:spacing w:line="360" w:lineRule="auto"/>
        <w:ind w:firstLine="567"/>
        <w:jc w:val="both"/>
      </w:pPr>
      <w:r w:rsidRPr="00EA175D">
        <w:lastRenderedPageBreak/>
        <w:t>В следващите графики на настоящата част на оценката са представени обобщени данни по подхода ВОМР за процеса на одобрение на попадените от МИГ проектни предложения и сключването на договори с одобрените кандидати.</w:t>
      </w:r>
    </w:p>
    <w:p w14:paraId="026A9607" w14:textId="77777777" w:rsidR="00E97764" w:rsidRPr="00EA175D" w:rsidRDefault="00E97764" w:rsidP="00EA175D">
      <w:pPr>
        <w:spacing w:line="360" w:lineRule="auto"/>
        <w:ind w:firstLine="567"/>
        <w:jc w:val="both"/>
        <w:rPr>
          <w:highlight w:val="yellow"/>
        </w:rPr>
      </w:pPr>
    </w:p>
    <w:p w14:paraId="4E0A3E9E" w14:textId="39EAE2EB" w:rsidR="00E621B4" w:rsidRPr="00EA175D" w:rsidRDefault="00E621B4" w:rsidP="00EA175D">
      <w:pPr>
        <w:spacing w:line="360" w:lineRule="auto"/>
        <w:ind w:firstLine="567"/>
        <w:jc w:val="both"/>
      </w:pPr>
      <w:r w:rsidRPr="00EA175D">
        <w:t>Графика</w:t>
      </w:r>
      <w:r w:rsidR="00D21D5D" w:rsidRPr="00EA175D">
        <w:t>. Одобрени про</w:t>
      </w:r>
      <w:r w:rsidRPr="00EA175D">
        <w:t xml:space="preserve">цедури </w:t>
      </w:r>
      <w:r w:rsidR="00D21D5D" w:rsidRPr="00EA175D">
        <w:t>за подбор на проекттни предложения по подхода ВОМР по финансиращи програми.</w:t>
      </w:r>
    </w:p>
    <w:p w14:paraId="7A111674" w14:textId="77777777" w:rsidR="00D21D5D" w:rsidRPr="00EA175D" w:rsidRDefault="00D21D5D" w:rsidP="00EA175D">
      <w:pPr>
        <w:spacing w:line="360" w:lineRule="auto"/>
        <w:ind w:firstLine="567"/>
        <w:jc w:val="both"/>
        <w:rPr>
          <w:highlight w:val="yellow"/>
        </w:rPr>
      </w:pPr>
      <w:r w:rsidRPr="00EA175D">
        <w:rPr>
          <w:lang w:val="it-IT" w:eastAsia="it-IT"/>
        </w:rPr>
        <w:drawing>
          <wp:inline distT="0" distB="0" distL="0" distR="0" wp14:anchorId="540856D3" wp14:editId="5EF7C001">
            <wp:extent cx="4572000" cy="2743200"/>
            <wp:effectExtent l="0" t="0" r="19050" b="19050"/>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C9755ED" w14:textId="77777777" w:rsidR="00D21D5D" w:rsidRPr="00EA175D" w:rsidRDefault="00D21D5D" w:rsidP="00EA175D">
      <w:pPr>
        <w:spacing w:line="360" w:lineRule="auto"/>
        <w:ind w:firstLine="567"/>
        <w:jc w:val="both"/>
        <w:rPr>
          <w:highlight w:val="yellow"/>
        </w:rPr>
      </w:pPr>
    </w:p>
    <w:p w14:paraId="54C8539E" w14:textId="77777777" w:rsidR="009273DC" w:rsidRPr="00EA175D" w:rsidRDefault="003C7021" w:rsidP="00EA175D">
      <w:pPr>
        <w:spacing w:line="360" w:lineRule="auto"/>
        <w:ind w:firstLine="567"/>
        <w:jc w:val="both"/>
      </w:pPr>
      <w:r w:rsidRPr="00EA175D">
        <w:t xml:space="preserve">Към 30.09.2021 г. по подхода ВОМР са одобрени общо 759 процедури за подбор на проектни предложения. От тях 61,92% са по ПРСР 2014 – 2020 г., която е и програмата, предоставяща най-голям финансов ресурс по подхода. Делът на одобрените по ОПРЧР 2014 – 2020 </w:t>
      </w:r>
      <w:r w:rsidR="00694D7E" w:rsidRPr="00EA175D">
        <w:t>г. процедури е 22,94</w:t>
      </w:r>
      <w:r w:rsidRPr="00EA175D">
        <w:t xml:space="preserve">%, а по ОПИК 2014 – 2020 г. – 11,46%, което е и съразмерно с техния финансов принос, като абсолютна стойност и като размер на проектните предложения, по подхода ВОМР. </w:t>
      </w:r>
      <w:r w:rsidR="00F65D6C" w:rsidRPr="00EA175D">
        <w:t xml:space="preserve">Предвид спецификите си ОПОС 2014 – 2020 г. и ОПНОИР 2014 – 2020 г. са със сравнително малки дялове одобрени процедури – съответно 1,58% и </w:t>
      </w:r>
      <w:r w:rsidR="00694D7E" w:rsidRPr="00EA175D">
        <w:t xml:space="preserve">2,10%. От представените данни се вижда, че по подхода ВОМР от страна и на управляващите органи, и на МИГ, е извършена голяма по обем и значение работа, която е в полза на развитието на местните общности и техните територии. От </w:t>
      </w:r>
      <w:r w:rsidR="00694D7E" w:rsidRPr="00EA175D">
        <w:lastRenderedPageBreak/>
        <w:t>тази гледна точка може да се постави висока оценка на работата по одобрение на процедурите за подбор на проектни предложения, извършена по подхода.</w:t>
      </w:r>
    </w:p>
    <w:p w14:paraId="243CAB3E" w14:textId="77777777" w:rsidR="00D21D5D" w:rsidRPr="00EA175D" w:rsidRDefault="00D21D5D" w:rsidP="00EA175D">
      <w:pPr>
        <w:spacing w:line="360" w:lineRule="auto"/>
        <w:ind w:firstLine="567"/>
        <w:jc w:val="both"/>
        <w:rPr>
          <w:highlight w:val="yellow"/>
        </w:rPr>
      </w:pPr>
    </w:p>
    <w:p w14:paraId="46823101" w14:textId="77777777" w:rsidR="00E621B4" w:rsidRPr="00EA175D" w:rsidRDefault="00E621B4" w:rsidP="00EA175D">
      <w:pPr>
        <w:spacing w:line="360" w:lineRule="auto"/>
        <w:ind w:firstLine="567"/>
        <w:jc w:val="both"/>
      </w:pPr>
      <w:r w:rsidRPr="00EA175D">
        <w:t>Графика</w:t>
      </w:r>
      <w:r w:rsidR="00D21D5D" w:rsidRPr="00EA175D">
        <w:t>. Брой сключени договори по подхода ВОМР за</w:t>
      </w:r>
      <w:r w:rsidRPr="00EA175D">
        <w:t xml:space="preserve"> всяка </w:t>
      </w:r>
      <w:r w:rsidR="00D21D5D" w:rsidRPr="00EA175D">
        <w:t xml:space="preserve">финансираща стратегиите за ВОМР </w:t>
      </w:r>
      <w:r w:rsidRPr="00EA175D">
        <w:t>програма</w:t>
      </w:r>
      <w:r w:rsidR="00D21D5D" w:rsidRPr="00EA175D">
        <w:t>.</w:t>
      </w:r>
    </w:p>
    <w:p w14:paraId="0B9ED825" w14:textId="77777777" w:rsidR="00D21D5D" w:rsidRPr="00EA175D" w:rsidRDefault="00D21D5D" w:rsidP="00EA175D">
      <w:pPr>
        <w:spacing w:line="360" w:lineRule="auto"/>
        <w:ind w:firstLine="567"/>
        <w:jc w:val="both"/>
      </w:pPr>
      <w:r w:rsidRPr="00EA175D">
        <w:rPr>
          <w:lang w:val="it-IT" w:eastAsia="it-IT"/>
        </w:rPr>
        <w:drawing>
          <wp:inline distT="0" distB="0" distL="0" distR="0" wp14:anchorId="618DE105" wp14:editId="1AFE63EC">
            <wp:extent cx="4572000" cy="2743200"/>
            <wp:effectExtent l="0" t="0" r="19050" b="1905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7D6C2AE" w14:textId="77777777" w:rsidR="00D21D5D" w:rsidRPr="00EA175D" w:rsidRDefault="00D21D5D" w:rsidP="00EA175D">
      <w:pPr>
        <w:spacing w:line="360" w:lineRule="auto"/>
        <w:ind w:firstLine="567"/>
        <w:jc w:val="both"/>
        <w:rPr>
          <w:highlight w:val="yellow"/>
        </w:rPr>
      </w:pPr>
    </w:p>
    <w:p w14:paraId="34F772BD" w14:textId="77777777" w:rsidR="009273DC" w:rsidRPr="00EA175D" w:rsidRDefault="00694D7E" w:rsidP="00EA175D">
      <w:pPr>
        <w:spacing w:line="360" w:lineRule="auto"/>
        <w:ind w:firstLine="567"/>
        <w:jc w:val="both"/>
        <w:rPr>
          <w:highlight w:val="yellow"/>
        </w:rPr>
      </w:pPr>
      <w:r w:rsidRPr="00EA175D">
        <w:t xml:space="preserve">Към 30.09.2021 г. по подмярка 19.2 на подхода ВОМР са сключени общо 1 119 договора. От тях </w:t>
      </w:r>
      <w:r w:rsidR="00754083" w:rsidRPr="00EA175D">
        <w:t>53</w:t>
      </w:r>
      <w:r w:rsidRPr="00EA175D">
        <w:t>,</w:t>
      </w:r>
      <w:r w:rsidR="00754083" w:rsidRPr="00EA175D">
        <w:t>08</w:t>
      </w:r>
      <w:r w:rsidRPr="00EA175D">
        <w:t xml:space="preserve">% са по ПРСР 2014 – 2020 г., която е и програмата, предоставяща най-голям финансов ресурс по подхода. Делът на </w:t>
      </w:r>
      <w:r w:rsidR="00754083" w:rsidRPr="00EA175D">
        <w:t>сключените договори</w:t>
      </w:r>
      <w:r w:rsidRPr="00EA175D">
        <w:t xml:space="preserve"> по ОПРЧР 2014 – 2020 г. е 2</w:t>
      </w:r>
      <w:r w:rsidR="00754083" w:rsidRPr="00EA175D">
        <w:t>6</w:t>
      </w:r>
      <w:r w:rsidRPr="00EA175D">
        <w:t>,</w:t>
      </w:r>
      <w:r w:rsidR="00754083" w:rsidRPr="00EA175D">
        <w:t>5</w:t>
      </w:r>
      <w:r w:rsidRPr="00EA175D">
        <w:t>4%, по ОПИК 2014 – 2020 г. – 1</w:t>
      </w:r>
      <w:r w:rsidR="00754083" w:rsidRPr="00EA175D">
        <w:t>5</w:t>
      </w:r>
      <w:r w:rsidRPr="00EA175D">
        <w:t>,</w:t>
      </w:r>
      <w:r w:rsidR="00754083" w:rsidRPr="00EA175D">
        <w:t>20, а по ОПНОИР 2014 – 2020 г. – 4,38%</w:t>
      </w:r>
      <w:r w:rsidRPr="00EA175D">
        <w:t xml:space="preserve">, което е и съразмерно с техния финансов принос, като абсолютна стойност и като размер на проектните предложения, по подхода ВОМР. Предвид спецификите си </w:t>
      </w:r>
      <w:r w:rsidR="00754083" w:rsidRPr="00EA175D">
        <w:t xml:space="preserve">по </w:t>
      </w:r>
      <w:r w:rsidRPr="00EA175D">
        <w:t xml:space="preserve">ОПОС 2014 – 2020 г. са </w:t>
      </w:r>
      <w:r w:rsidR="00754083" w:rsidRPr="00EA175D">
        <w:t>сключени 9 договора, което прави 0</w:t>
      </w:r>
      <w:r w:rsidRPr="00EA175D">
        <w:t>,8</w:t>
      </w:r>
      <w:r w:rsidR="00754083" w:rsidRPr="00EA175D">
        <w:t>0</w:t>
      </w:r>
      <w:r w:rsidRPr="00EA175D">
        <w:t xml:space="preserve">% </w:t>
      </w:r>
      <w:r w:rsidR="00754083" w:rsidRPr="00EA175D">
        <w:t>от общия брой сключени договори по подмярка 19.2 на подхода ВОМР</w:t>
      </w:r>
      <w:r w:rsidRPr="00EA175D">
        <w:t xml:space="preserve">. От представените данни се вижда, че по подхода ВОМР от страна и на управляващите органи, и на МИГ, </w:t>
      </w:r>
      <w:r w:rsidR="00DA2269" w:rsidRPr="00EA175D">
        <w:t>са договор</w:t>
      </w:r>
      <w:r w:rsidR="00E12908" w:rsidRPr="00EA175D">
        <w:t>е</w:t>
      </w:r>
      <w:r w:rsidR="00DA2269" w:rsidRPr="00EA175D">
        <w:t>ни голям брой проекти</w:t>
      </w:r>
      <w:r w:rsidRPr="00EA175D">
        <w:t xml:space="preserve">, </w:t>
      </w:r>
      <w:r w:rsidR="00DA2269" w:rsidRPr="00EA175D">
        <w:t xml:space="preserve">насочени към подобряване на икономическите, социалните и условията за живот на </w:t>
      </w:r>
      <w:r w:rsidRPr="00EA175D">
        <w:t xml:space="preserve">местните общности. </w:t>
      </w:r>
      <w:r w:rsidR="00E12908" w:rsidRPr="00EA175D">
        <w:t>Извършена е голя</w:t>
      </w:r>
      <w:r w:rsidR="00DA2269" w:rsidRPr="00EA175D">
        <w:t>м</w:t>
      </w:r>
      <w:r w:rsidR="00E12908" w:rsidRPr="00EA175D">
        <w:t>а</w:t>
      </w:r>
      <w:r w:rsidR="00DA2269" w:rsidRPr="00EA175D">
        <w:t xml:space="preserve"> по обем работа, но по ПРСР 2014 – </w:t>
      </w:r>
      <w:r w:rsidR="00DA2269" w:rsidRPr="00EA175D">
        <w:lastRenderedPageBreak/>
        <w:t>2020 г. предстои разглеждането на голям брой проекти, което следва да бъде ускорено, с цел успешното изпълнение на подхода ВОМР</w:t>
      </w:r>
      <w:r w:rsidRPr="00EA175D">
        <w:t>.</w:t>
      </w:r>
    </w:p>
    <w:p w14:paraId="13F99B39" w14:textId="77777777" w:rsidR="00D21D5D" w:rsidRPr="00EA175D" w:rsidRDefault="00D21D5D" w:rsidP="00EA175D">
      <w:pPr>
        <w:spacing w:line="360" w:lineRule="auto"/>
        <w:ind w:firstLine="567"/>
        <w:jc w:val="both"/>
        <w:rPr>
          <w:highlight w:val="yellow"/>
        </w:rPr>
      </w:pPr>
    </w:p>
    <w:p w14:paraId="69C49606" w14:textId="77777777" w:rsidR="00E621B4" w:rsidRPr="00EA175D" w:rsidRDefault="00E621B4" w:rsidP="00EA175D">
      <w:pPr>
        <w:spacing w:line="360" w:lineRule="auto"/>
        <w:ind w:firstLine="567"/>
        <w:jc w:val="both"/>
      </w:pPr>
      <w:r w:rsidRPr="00EA175D">
        <w:t>Графика</w:t>
      </w:r>
      <w:r w:rsidR="00D21D5D" w:rsidRPr="00EA175D">
        <w:t xml:space="preserve">. Договорени средства </w:t>
      </w:r>
      <w:r w:rsidR="003A2DB7" w:rsidRPr="00EA175D">
        <w:t xml:space="preserve">къв крайни бенефициенти по стратегиите за ВОМР </w:t>
      </w:r>
      <w:r w:rsidR="00D21D5D" w:rsidRPr="00EA175D">
        <w:t>п</w:t>
      </w:r>
      <w:r w:rsidRPr="00EA175D">
        <w:t xml:space="preserve">о всяка </w:t>
      </w:r>
      <w:r w:rsidR="00D21D5D" w:rsidRPr="00EA175D">
        <w:t xml:space="preserve">от финансиращите </w:t>
      </w:r>
      <w:r w:rsidRPr="00EA175D">
        <w:t>програм</w:t>
      </w:r>
      <w:r w:rsidR="00D21D5D" w:rsidRPr="00EA175D">
        <w:t>и.</w:t>
      </w:r>
    </w:p>
    <w:p w14:paraId="35BC467D" w14:textId="77777777" w:rsidR="00D21D5D" w:rsidRPr="00EA175D" w:rsidRDefault="009273DC" w:rsidP="00EA175D">
      <w:pPr>
        <w:spacing w:line="360" w:lineRule="auto"/>
        <w:ind w:firstLine="567"/>
        <w:jc w:val="both"/>
        <w:rPr>
          <w:highlight w:val="yellow"/>
        </w:rPr>
      </w:pPr>
      <w:r w:rsidRPr="00EA175D">
        <w:rPr>
          <w:lang w:val="it-IT" w:eastAsia="it-IT"/>
        </w:rPr>
        <w:drawing>
          <wp:inline distT="0" distB="0" distL="0" distR="0" wp14:anchorId="2C4C05D0" wp14:editId="7B87D56D">
            <wp:extent cx="4572000" cy="2743200"/>
            <wp:effectExtent l="0" t="0" r="19050" b="19050"/>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2E8E8E1" w14:textId="77777777" w:rsidR="00D21D5D" w:rsidRPr="00EA175D" w:rsidRDefault="00D21D5D" w:rsidP="00EA175D">
      <w:pPr>
        <w:spacing w:line="360" w:lineRule="auto"/>
        <w:ind w:firstLine="567"/>
        <w:jc w:val="both"/>
        <w:rPr>
          <w:highlight w:val="yellow"/>
        </w:rPr>
      </w:pPr>
    </w:p>
    <w:p w14:paraId="0C3AAD73" w14:textId="77777777" w:rsidR="009273DC" w:rsidRPr="00EA175D" w:rsidRDefault="00387BB9" w:rsidP="00EA175D">
      <w:pPr>
        <w:spacing w:line="360" w:lineRule="auto"/>
        <w:ind w:firstLine="567"/>
        <w:jc w:val="both"/>
        <w:rPr>
          <w:highlight w:val="yellow"/>
        </w:rPr>
      </w:pPr>
      <w:r w:rsidRPr="00EA175D">
        <w:t xml:space="preserve">Към 30.09.2021 г. по подмярка 19.2 на подхода ВОМР са </w:t>
      </w:r>
      <w:r w:rsidR="000067E4" w:rsidRPr="00EA175D">
        <w:t xml:space="preserve">договорени общо </w:t>
      </w:r>
      <w:r w:rsidRPr="00EA175D">
        <w:t xml:space="preserve"> </w:t>
      </w:r>
      <w:r w:rsidR="00E12908" w:rsidRPr="00EA175D">
        <w:t xml:space="preserve">164 686 340,61 </w:t>
      </w:r>
      <w:r w:rsidR="000067E4" w:rsidRPr="00EA175D">
        <w:t>лева</w:t>
      </w:r>
      <w:r w:rsidRPr="00EA175D">
        <w:t>. От тях 3</w:t>
      </w:r>
      <w:r w:rsidR="00E12908" w:rsidRPr="00F77584">
        <w:rPr>
          <w:lang w:val="ru-RU"/>
        </w:rPr>
        <w:t>8</w:t>
      </w:r>
      <w:r w:rsidRPr="00EA175D">
        <w:t>,</w:t>
      </w:r>
      <w:r w:rsidR="00E12908" w:rsidRPr="00F77584">
        <w:rPr>
          <w:lang w:val="ru-RU"/>
        </w:rPr>
        <w:t>79</w:t>
      </w:r>
      <w:r w:rsidRPr="00EA175D">
        <w:t>% са по ПРСР 2014 – 2020 г., която е и програмата, предоставяща най-голям финансов ресурс по подхода. Делът на договор</w:t>
      </w:r>
      <w:r w:rsidR="00E12908" w:rsidRPr="00EA175D">
        <w:t>ените средства</w:t>
      </w:r>
      <w:r w:rsidRPr="00EA175D">
        <w:t xml:space="preserve"> по ОПРЧР 2014 – 2020 г. е 2</w:t>
      </w:r>
      <w:r w:rsidR="00E12908" w:rsidRPr="00EA175D">
        <w:t>3</w:t>
      </w:r>
      <w:r w:rsidRPr="00EA175D">
        <w:t>,5</w:t>
      </w:r>
      <w:r w:rsidR="00E12908" w:rsidRPr="00EA175D">
        <w:t>5</w:t>
      </w:r>
      <w:r w:rsidRPr="00EA175D">
        <w:t xml:space="preserve">%, по ОПИК 2014 – 2020 г. – </w:t>
      </w:r>
      <w:r w:rsidR="00E12908" w:rsidRPr="00EA175D">
        <w:t>26</w:t>
      </w:r>
      <w:r w:rsidRPr="00EA175D">
        <w:t>,</w:t>
      </w:r>
      <w:r w:rsidR="00E12908" w:rsidRPr="00EA175D">
        <w:t>57</w:t>
      </w:r>
      <w:r w:rsidRPr="00EA175D">
        <w:t>, по ОПНОИР 2014 – 2020 г. – 4,8</w:t>
      </w:r>
      <w:r w:rsidR="00E12908" w:rsidRPr="00EA175D">
        <w:t>4</w:t>
      </w:r>
      <w:r w:rsidRPr="00EA175D">
        <w:t>%</w:t>
      </w:r>
      <w:r w:rsidR="00E12908" w:rsidRPr="00EA175D">
        <w:t xml:space="preserve"> </w:t>
      </w:r>
      <w:r w:rsidRPr="00EA175D">
        <w:t xml:space="preserve">и по ОПОС 2014 – 2020 г. </w:t>
      </w:r>
      <w:r w:rsidR="00E12908" w:rsidRPr="00EA175D">
        <w:t>– 6</w:t>
      </w:r>
      <w:r w:rsidRPr="00EA175D">
        <w:t>,</w:t>
      </w:r>
      <w:r w:rsidR="00E12908" w:rsidRPr="00EA175D">
        <w:t>27</w:t>
      </w:r>
      <w:r w:rsidRPr="00EA175D">
        <w:t xml:space="preserve">%. От представените данни се вижда, че </w:t>
      </w:r>
      <w:r w:rsidR="00E12908" w:rsidRPr="00EA175D">
        <w:t xml:space="preserve">делът на ПРСР 2014 – 2020 г. при договорените </w:t>
      </w:r>
      <w:r w:rsidRPr="00EA175D">
        <w:t xml:space="preserve">по подхода ВОМР </w:t>
      </w:r>
      <w:r w:rsidR="00E12908" w:rsidRPr="00EA175D">
        <w:t xml:space="preserve">средства значително намалява спрямо дела на програмата по предишните представени до тук показатели, където е около и над 50%. Въпреки това </w:t>
      </w:r>
      <w:r w:rsidRPr="00EA175D">
        <w:t xml:space="preserve">управляващите органи и МИГ са </w:t>
      </w:r>
      <w:r w:rsidR="00E12908" w:rsidRPr="00EA175D">
        <w:t xml:space="preserve">успели да насочат един голям финансов ресурс за развитие на </w:t>
      </w:r>
      <w:r w:rsidRPr="00EA175D">
        <w:t xml:space="preserve">местните общности. </w:t>
      </w:r>
      <w:r w:rsidR="00E12908" w:rsidRPr="00EA175D">
        <w:t xml:space="preserve">Както беше споменато и по-горе </w:t>
      </w:r>
      <w:r w:rsidRPr="00EA175D">
        <w:t xml:space="preserve">по ПРСР 2014 – 2020 г. </w:t>
      </w:r>
      <w:r w:rsidR="00E12908" w:rsidRPr="00EA175D">
        <w:t>следва да бъде ускорен процесът на договаряне</w:t>
      </w:r>
      <w:r w:rsidRPr="00EA175D">
        <w:t>, с цел успешното изпълнение на подхода ВОМР.</w:t>
      </w:r>
    </w:p>
    <w:p w14:paraId="421CC09C" w14:textId="77777777" w:rsidR="00D21D5D" w:rsidRPr="00EA175D" w:rsidRDefault="00D21D5D" w:rsidP="00EA175D">
      <w:pPr>
        <w:spacing w:line="360" w:lineRule="auto"/>
        <w:ind w:firstLine="567"/>
        <w:jc w:val="both"/>
        <w:rPr>
          <w:highlight w:val="yellow"/>
        </w:rPr>
      </w:pPr>
    </w:p>
    <w:p w14:paraId="64160479" w14:textId="77777777" w:rsidR="00E621B4" w:rsidRPr="00EA175D" w:rsidRDefault="00E621B4" w:rsidP="00EA175D">
      <w:pPr>
        <w:spacing w:line="360" w:lineRule="auto"/>
        <w:ind w:firstLine="567"/>
        <w:jc w:val="both"/>
      </w:pPr>
      <w:r w:rsidRPr="00EA175D">
        <w:lastRenderedPageBreak/>
        <w:t>Графика</w:t>
      </w:r>
      <w:r w:rsidR="009273DC" w:rsidRPr="00EA175D">
        <w:t xml:space="preserve">. Степен на договаряне на средствата по стратегиите за ВОМР към крайни бенефициенти по всяка от финансиращите </w:t>
      </w:r>
      <w:r w:rsidRPr="00EA175D">
        <w:t>програми</w:t>
      </w:r>
      <w:r w:rsidR="009273DC" w:rsidRPr="00EA175D">
        <w:t>.</w:t>
      </w:r>
    </w:p>
    <w:p w14:paraId="3BB69410" w14:textId="77777777" w:rsidR="009273DC" w:rsidRPr="00EA175D" w:rsidRDefault="004A2686" w:rsidP="00EA175D">
      <w:pPr>
        <w:spacing w:line="360" w:lineRule="auto"/>
        <w:ind w:firstLine="567"/>
        <w:jc w:val="both"/>
        <w:rPr>
          <w:highlight w:val="yellow"/>
        </w:rPr>
      </w:pPr>
      <w:r w:rsidRPr="00EA175D">
        <w:rPr>
          <w:lang w:val="it-IT" w:eastAsia="it-IT"/>
        </w:rPr>
        <w:drawing>
          <wp:inline distT="0" distB="0" distL="0" distR="0" wp14:anchorId="2513A0C6" wp14:editId="7D0B8E3D">
            <wp:extent cx="4572000" cy="2743200"/>
            <wp:effectExtent l="0" t="0" r="19050" b="1905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65AF82F" w14:textId="77777777" w:rsidR="009273DC" w:rsidRPr="00EA175D" w:rsidRDefault="009273DC" w:rsidP="00EA175D">
      <w:pPr>
        <w:spacing w:line="360" w:lineRule="auto"/>
        <w:ind w:firstLine="567"/>
        <w:jc w:val="both"/>
        <w:rPr>
          <w:highlight w:val="yellow"/>
        </w:rPr>
      </w:pPr>
    </w:p>
    <w:p w14:paraId="4AF02320" w14:textId="77777777" w:rsidR="009273DC" w:rsidRPr="00F77584" w:rsidRDefault="004A2686" w:rsidP="00EA175D">
      <w:pPr>
        <w:spacing w:line="360" w:lineRule="auto"/>
        <w:ind w:firstLine="567"/>
        <w:jc w:val="both"/>
        <w:rPr>
          <w:lang w:val="ru-RU"/>
        </w:rPr>
      </w:pPr>
      <w:r w:rsidRPr="00EA175D">
        <w:t>Показаните на горната графика данни, обобщават казаното до тук и имат за цел визуално да представят етапа на изпълнение на подхода ВОМР по отношение на договарянето на средствата към стратегиите за ВОМР.</w:t>
      </w:r>
      <w:r w:rsidR="001E12C8" w:rsidRPr="00EA175D">
        <w:t xml:space="preserve"> Забелязва се висока степен на договаряне по оперативните програми и изоставане от страна на ПРСР 2014 – 2020 г., което е коментирано по-горе в различните разрези на прилагането на подхода ВОМР. Степента на договаряне по ПРСР 2014 – 2020 г. се доближава до тази на другите програми, при прибавяне на договорените по подмярка 19.4 средства (това е показано и по-долу). Следва да се има предвид, че въпреки повишената степен на договаряне по ПРСР 2014 – 2020 г. със средствата по подмярка 19.4, все още има значително изоставане при договарянето на средствата по подмярка 19.2, което следва да бъде наваксано. </w:t>
      </w:r>
    </w:p>
    <w:p w14:paraId="79806CB8" w14:textId="77777777" w:rsidR="004A2686" w:rsidRPr="00EA175D" w:rsidRDefault="004A2686" w:rsidP="00EA175D">
      <w:pPr>
        <w:spacing w:line="360" w:lineRule="auto"/>
        <w:ind w:firstLine="567"/>
        <w:jc w:val="both"/>
        <w:rPr>
          <w:highlight w:val="yellow"/>
        </w:rPr>
      </w:pPr>
    </w:p>
    <w:p w14:paraId="4ED7D6D7" w14:textId="77777777" w:rsidR="00E621B4" w:rsidRPr="00EA175D" w:rsidRDefault="00E621B4" w:rsidP="00EA175D">
      <w:pPr>
        <w:spacing w:line="360" w:lineRule="auto"/>
        <w:ind w:firstLine="567"/>
        <w:jc w:val="both"/>
      </w:pPr>
      <w:r w:rsidRPr="00EA175D">
        <w:t>Графика</w:t>
      </w:r>
      <w:r w:rsidR="004F7284" w:rsidRPr="00EA175D">
        <w:t xml:space="preserve">. Обща степен на договаряне на средствата </w:t>
      </w:r>
      <w:r w:rsidR="0064650D" w:rsidRPr="00EA175D">
        <w:t xml:space="preserve">за проекти (по подмярка 19.2) </w:t>
      </w:r>
      <w:r w:rsidR="004F7284" w:rsidRPr="00EA175D">
        <w:t>по стратегиите за ВОМР към крайни бенефициенти.</w:t>
      </w:r>
      <w:r w:rsidRPr="00EA175D">
        <w:t xml:space="preserve"> </w:t>
      </w:r>
    </w:p>
    <w:p w14:paraId="4959C3A8" w14:textId="77777777" w:rsidR="004F7284" w:rsidRPr="00EA175D" w:rsidRDefault="00C95C84" w:rsidP="00EA175D">
      <w:pPr>
        <w:spacing w:line="360" w:lineRule="auto"/>
        <w:ind w:firstLine="567"/>
        <w:jc w:val="both"/>
        <w:rPr>
          <w:highlight w:val="yellow"/>
        </w:rPr>
      </w:pPr>
      <w:r w:rsidRPr="00EA175D">
        <w:rPr>
          <w:lang w:val="it-IT" w:eastAsia="it-IT"/>
        </w:rPr>
        <w:lastRenderedPageBreak/>
        <w:drawing>
          <wp:inline distT="0" distB="0" distL="0" distR="0" wp14:anchorId="3F5CB0D9" wp14:editId="61F943E1">
            <wp:extent cx="4572000" cy="2743200"/>
            <wp:effectExtent l="0" t="0" r="19050" b="19050"/>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13B3DDCC" w14:textId="77777777" w:rsidR="004F7284" w:rsidRPr="00EA175D" w:rsidRDefault="004F7284" w:rsidP="00EA175D">
      <w:pPr>
        <w:spacing w:line="360" w:lineRule="auto"/>
        <w:ind w:firstLine="567"/>
        <w:jc w:val="both"/>
        <w:rPr>
          <w:highlight w:val="yellow"/>
        </w:rPr>
      </w:pPr>
    </w:p>
    <w:p w14:paraId="7650A5CF" w14:textId="77777777" w:rsidR="001E12C8" w:rsidRPr="00EA175D" w:rsidRDefault="001E12C8" w:rsidP="00EA175D">
      <w:pPr>
        <w:spacing w:line="360" w:lineRule="auto"/>
        <w:ind w:firstLine="567"/>
        <w:jc w:val="both"/>
      </w:pPr>
      <w:r w:rsidRPr="00EA175D">
        <w:t xml:space="preserve">Предвид периода на извършване на настоящата оценка може да се направи извод, че въпреки извършената голяма по обем работа от всички звена в структурата на неговото прилагане, степента на договаряне на средствата към крайни бенефициенти е незадоволителна. От всички участници в прилагането на подхода следва да се предприемат целенасочени действия за ускоряване на процеса на договаряне на средствата към стратегиите за ВОМР и недопускане на разочарование от страна на кандидатите и местните общности като цяло. </w:t>
      </w:r>
    </w:p>
    <w:p w14:paraId="0EF5FA14" w14:textId="77777777" w:rsidR="001E12C8" w:rsidRPr="00EA175D" w:rsidRDefault="001E12C8" w:rsidP="00EA175D">
      <w:pPr>
        <w:spacing w:line="360" w:lineRule="auto"/>
        <w:ind w:firstLine="567"/>
        <w:jc w:val="both"/>
        <w:rPr>
          <w:highlight w:val="yellow"/>
        </w:rPr>
      </w:pPr>
    </w:p>
    <w:p w14:paraId="0D8778C2" w14:textId="77777777" w:rsidR="004F7284" w:rsidRPr="00EA175D" w:rsidRDefault="0064650D" w:rsidP="00EA175D">
      <w:pPr>
        <w:spacing w:line="360" w:lineRule="auto"/>
        <w:ind w:firstLine="567"/>
        <w:jc w:val="both"/>
      </w:pPr>
      <w:r w:rsidRPr="00EA175D">
        <w:t>Графика. Обща степен на договаряне на средствата по стратегиите за ВОМР към крайни бенефициенти, включително средствата за управление по подмярка 19.4.</w:t>
      </w:r>
    </w:p>
    <w:p w14:paraId="21305364" w14:textId="77777777" w:rsidR="0064650D" w:rsidRPr="00EA175D" w:rsidRDefault="00817C79" w:rsidP="00EA175D">
      <w:pPr>
        <w:spacing w:line="360" w:lineRule="auto"/>
        <w:ind w:firstLine="567"/>
        <w:jc w:val="both"/>
        <w:rPr>
          <w:lang w:val="en-GB"/>
        </w:rPr>
      </w:pPr>
      <w:r w:rsidRPr="00EA175D">
        <w:rPr>
          <w:lang w:val="it-IT" w:eastAsia="it-IT"/>
        </w:rPr>
        <w:lastRenderedPageBreak/>
        <w:drawing>
          <wp:inline distT="0" distB="0" distL="0" distR="0" wp14:anchorId="32AE00C8" wp14:editId="5860BDAA">
            <wp:extent cx="4572000" cy="2743200"/>
            <wp:effectExtent l="0" t="0" r="19050" b="19050"/>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5FBDD8C" w14:textId="77777777" w:rsidR="004665F2" w:rsidRPr="00EA175D" w:rsidRDefault="004665F2" w:rsidP="00EA175D">
      <w:pPr>
        <w:spacing w:line="360" w:lineRule="auto"/>
        <w:ind w:firstLine="567"/>
        <w:jc w:val="both"/>
        <w:rPr>
          <w:lang w:val="en-GB"/>
        </w:rPr>
      </w:pPr>
    </w:p>
    <w:p w14:paraId="3A6F22DE" w14:textId="77777777" w:rsidR="004665F2" w:rsidRPr="00EA175D" w:rsidRDefault="004665F2" w:rsidP="00EA175D">
      <w:pPr>
        <w:spacing w:line="360" w:lineRule="auto"/>
        <w:ind w:firstLine="567"/>
        <w:jc w:val="both"/>
      </w:pPr>
      <w:r w:rsidRPr="00EA175D">
        <w:t xml:space="preserve">Както беше представено по-рано в настоящия документ, по подхода ВОМР, освен средствата за проекти към стратегиите за ВОМР по подмярка 19.2, са договорени и средства за управление на МИГ и популяризиране на стратегии за ВОМР по подмярка 19.4. По тази подмярка крайни бенефициенти са МИГ, което предполага, че тези средства могат да се причислят към договорените към крайни бенефициенти средства по подмярка 19.2. Така се получава картината, представена на горната графика – към 30.09.2021 г. степента на договаряне на средствата по подхода ВОМР към крайни бенефициенти е 61%. Предвид времевия период това не е висока степен на договаряне. Представените по-горе данни показват, че договарянето по оперативните програми е в по-висока степен в сравнение с това по ПРСР 2014 – 2020 г. </w:t>
      </w:r>
      <w:r w:rsidR="00E54F22" w:rsidRPr="00EA175D">
        <w:t>При тази програма има преходен период, обхващащ 2021 и 2022 г., който следва да се използва за наваксване на процеса на договаряне на средствата по подмярка 19.2 към крайни бенефициенти на стратегиите за ВОМР.</w:t>
      </w:r>
      <w:r w:rsidRPr="00EA175D">
        <w:t xml:space="preserve">   </w:t>
      </w:r>
    </w:p>
    <w:p w14:paraId="549984C6" w14:textId="77777777" w:rsidR="0064650D" w:rsidRPr="00EA175D" w:rsidRDefault="0064650D" w:rsidP="00EA175D">
      <w:pPr>
        <w:spacing w:line="360" w:lineRule="auto"/>
        <w:ind w:firstLine="567"/>
        <w:jc w:val="both"/>
        <w:rPr>
          <w:highlight w:val="yellow"/>
        </w:rPr>
      </w:pPr>
    </w:p>
    <w:p w14:paraId="20878FE0" w14:textId="77777777" w:rsidR="00E621B4" w:rsidRPr="00EA175D" w:rsidRDefault="00E621B4" w:rsidP="00EA175D">
      <w:pPr>
        <w:spacing w:line="360" w:lineRule="auto"/>
        <w:ind w:firstLine="567"/>
        <w:jc w:val="both"/>
        <w:rPr>
          <w:b/>
        </w:rPr>
      </w:pPr>
      <w:r w:rsidRPr="00EA175D">
        <w:rPr>
          <w:b/>
        </w:rPr>
        <w:t>Заключение</w:t>
      </w:r>
    </w:p>
    <w:p w14:paraId="0BA74617" w14:textId="77777777" w:rsidR="001E12C8" w:rsidRPr="00EA175D" w:rsidRDefault="001E12C8" w:rsidP="00EA175D">
      <w:pPr>
        <w:spacing w:line="360" w:lineRule="auto"/>
        <w:ind w:firstLine="567"/>
        <w:jc w:val="both"/>
      </w:pPr>
      <w:r w:rsidRPr="00EA175D">
        <w:t xml:space="preserve">Поради своята специфика подходът ВОМР се характеризира с двустепенен процес на договаряне на средствата. Първият етап в този процес е договарянето на средствата по </w:t>
      </w:r>
      <w:r w:rsidRPr="00EA175D">
        <w:lastRenderedPageBreak/>
        <w:t>подхода към МИГ, докато втория етап е договарянето на средствата от стратегиите за ВОМР към крайни бенефициенти. Освен управляващите органи на финансиращите програми, участващи в подхода ВОМР, голяма роля в този процес имат и МИГ, на които се пада задачата да са основен двигател на втория етап на договарянето на средствата – а именно извършването на подбор на проекти и последващото им изпращане на съгласуване от страна на съответните УО или ДФЗ.</w:t>
      </w:r>
    </w:p>
    <w:p w14:paraId="2B389F4C" w14:textId="77777777" w:rsidR="001E12C8" w:rsidRPr="00EA175D" w:rsidRDefault="00EE72FE" w:rsidP="00EA175D">
      <w:pPr>
        <w:spacing w:line="360" w:lineRule="auto"/>
        <w:ind w:firstLine="567"/>
        <w:jc w:val="both"/>
      </w:pPr>
      <w:r w:rsidRPr="00EA175D">
        <w:t xml:space="preserve">Не е възможно приносът на всички участници в </w:t>
      </w:r>
      <w:r w:rsidR="00E856A8" w:rsidRPr="00EA175D">
        <w:t xml:space="preserve">процеса на договаряне при </w:t>
      </w:r>
      <w:r w:rsidRPr="00EA175D">
        <w:t>прилагането на подхода ВОМР да бъде унифицирано, като в предишните части на оценката приносът на всеки от тях е описан подробно. В тази връзка, би могло да се заключи, че в тази сложна за работа среда и предвид новостите в прилагането на подхода ВОМР, всички участници в неговото прилагане са се справили и се справят на добро ниво със своите задачи.</w:t>
      </w:r>
    </w:p>
    <w:p w14:paraId="3643F044" w14:textId="77777777" w:rsidR="00F46353" w:rsidRPr="00EA175D" w:rsidRDefault="00F46353" w:rsidP="00EA175D">
      <w:pPr>
        <w:pStyle w:val="1"/>
        <w:numPr>
          <w:ilvl w:val="1"/>
          <w:numId w:val="1"/>
        </w:numPr>
        <w:tabs>
          <w:tab w:val="left" w:pos="993"/>
        </w:tabs>
        <w:spacing w:line="360" w:lineRule="auto"/>
        <w:ind w:left="0" w:firstLine="567"/>
        <w:jc w:val="both"/>
        <w:rPr>
          <w:rFonts w:ascii="Times New Roman" w:hAnsi="Times New Roman" w:cs="Times New Roman"/>
          <w:color w:val="auto"/>
          <w:sz w:val="24"/>
          <w:szCs w:val="24"/>
        </w:rPr>
      </w:pPr>
      <w:bookmarkStart w:id="30" w:name="_Toc93489783"/>
      <w:r w:rsidRPr="00EA175D">
        <w:rPr>
          <w:rFonts w:ascii="Times New Roman" w:hAnsi="Times New Roman" w:cs="Times New Roman"/>
          <w:color w:val="auto"/>
          <w:sz w:val="24"/>
          <w:szCs w:val="24"/>
        </w:rPr>
        <w:t>Напредък по изпълнението на проектите по подхода ВОМР – изпълнени проекти и възстановени разходи на крайни бенефициенти</w:t>
      </w:r>
      <w:bookmarkEnd w:id="30"/>
    </w:p>
    <w:p w14:paraId="67652962" w14:textId="77777777" w:rsidR="00E016A5" w:rsidRPr="00EA175D" w:rsidRDefault="00E016A5" w:rsidP="00EA175D">
      <w:pPr>
        <w:spacing w:line="360" w:lineRule="auto"/>
        <w:ind w:firstLine="567"/>
        <w:jc w:val="both"/>
      </w:pPr>
    </w:p>
    <w:p w14:paraId="2EF175C9" w14:textId="77777777" w:rsidR="003C7021" w:rsidRPr="00EA175D" w:rsidRDefault="003C7021" w:rsidP="00EA175D">
      <w:pPr>
        <w:spacing w:line="360" w:lineRule="auto"/>
        <w:ind w:firstLine="567"/>
        <w:jc w:val="both"/>
        <w:rPr>
          <w:b/>
          <w:u w:val="single"/>
        </w:rPr>
      </w:pPr>
      <w:r w:rsidRPr="00EA175D">
        <w:rPr>
          <w:b/>
          <w:u w:val="single"/>
        </w:rPr>
        <w:t>П</w:t>
      </w:r>
      <w:r w:rsidR="00AA2DD9" w:rsidRPr="00EA175D">
        <w:rPr>
          <w:b/>
          <w:u w:val="single"/>
        </w:rPr>
        <w:t>р</w:t>
      </w:r>
      <w:r w:rsidR="00E016A5" w:rsidRPr="00EA175D">
        <w:rPr>
          <w:b/>
          <w:u w:val="single"/>
        </w:rPr>
        <w:t>ограма за развитие на селските райони 2014 – 2020 г.</w:t>
      </w:r>
    </w:p>
    <w:p w14:paraId="00406A0E" w14:textId="77777777" w:rsidR="003C7021" w:rsidRPr="00EA175D" w:rsidRDefault="000A2298" w:rsidP="00EA175D">
      <w:pPr>
        <w:spacing w:line="360" w:lineRule="auto"/>
        <w:ind w:firstLine="567"/>
        <w:jc w:val="both"/>
      </w:pPr>
      <w:r w:rsidRPr="00EA175D">
        <w:t xml:space="preserve">От сключените общо 594 договора със средства от ПРСР 2014 – 2020 г. към 30.09.2021 г. плащания са изъвршени по 108 договора. Общата изплатена сума е в размер на 8 475 072,65 лв., което представлява 13,27% от средствата, договорени към крайни бенефициенти по стратегиите за ВОМР и 4,47% от средствата по ПРСР 2014 – 2020 г., договорени към стратегиите за ВОМР. </w:t>
      </w:r>
    </w:p>
    <w:p w14:paraId="423139E2" w14:textId="77777777" w:rsidR="000A2298" w:rsidRPr="00EA175D" w:rsidRDefault="000A2298" w:rsidP="00EA175D">
      <w:pPr>
        <w:spacing w:line="360" w:lineRule="auto"/>
        <w:ind w:firstLine="567"/>
        <w:jc w:val="both"/>
      </w:pPr>
      <w:r w:rsidRPr="00EA175D">
        <w:t xml:space="preserve">Както беше споменато, по подмярка 19.4 краен бенефициент на финансирането се явяват МИГ, като по този начин възстановените средства по този подмярка могат да се причислят към настоящата част на оценката. Към 30.09.2021 г. </w:t>
      </w:r>
      <w:r w:rsidR="00B26612" w:rsidRPr="00EA175D">
        <w:t xml:space="preserve">по подмярката </w:t>
      </w:r>
      <w:r w:rsidRPr="00EA175D">
        <w:t xml:space="preserve">към МИГ са възстановени </w:t>
      </w:r>
      <w:r w:rsidR="00B26612" w:rsidRPr="00EA175D">
        <w:t xml:space="preserve"> 29 406 331,67 лв., което придставлява </w:t>
      </w:r>
      <w:r w:rsidR="000A155D" w:rsidRPr="00EA175D">
        <w:t>49,52</w:t>
      </w:r>
      <w:r w:rsidR="00B26612" w:rsidRPr="00EA175D">
        <w:t>% от общия договорен към МИГ бюджет по подмярката, който е в размер на 59 384 270,02 лв.</w:t>
      </w:r>
    </w:p>
    <w:p w14:paraId="75865FAD" w14:textId="77777777" w:rsidR="00514DDB" w:rsidRPr="00EA175D" w:rsidRDefault="005B6CE7" w:rsidP="00EA175D">
      <w:pPr>
        <w:spacing w:line="360" w:lineRule="auto"/>
        <w:ind w:firstLine="567"/>
        <w:jc w:val="both"/>
      </w:pPr>
      <w:r w:rsidRPr="00EA175D">
        <w:lastRenderedPageBreak/>
        <w:t>Заедно със средствата по подмярка 19.4 възстановените средства по подхода ВОМР, предоставени от ПРСР 2014 – 2020 г. са в размер на общо 37 881 404,32 лв., което е 15,90% от средствата договорени към МИГ.</w:t>
      </w:r>
      <w:r w:rsidR="00514DDB" w:rsidRPr="00EA175D">
        <w:t xml:space="preserve"> </w:t>
      </w:r>
    </w:p>
    <w:p w14:paraId="3F117080" w14:textId="77777777" w:rsidR="000A155D" w:rsidRPr="00EA175D" w:rsidRDefault="00514DDB" w:rsidP="00EA175D">
      <w:pPr>
        <w:spacing w:line="360" w:lineRule="auto"/>
        <w:ind w:firstLine="567"/>
        <w:jc w:val="both"/>
      </w:pPr>
      <w:r w:rsidRPr="00EA175D">
        <w:t>Посочените нива на възстановяване на средствата са ниски и следва да се предприемат действия за ускоряване на процеса по възстановяване на извършените от бенефициентите разходи.</w:t>
      </w:r>
    </w:p>
    <w:p w14:paraId="1B15B3B2" w14:textId="77777777" w:rsidR="00AA2DD9" w:rsidRPr="00EA175D" w:rsidRDefault="00AA2DD9" w:rsidP="00EA175D">
      <w:pPr>
        <w:spacing w:line="360" w:lineRule="auto"/>
        <w:ind w:firstLine="567"/>
        <w:jc w:val="both"/>
      </w:pPr>
    </w:p>
    <w:p w14:paraId="2A9B7B4C" w14:textId="77777777" w:rsidR="008A2AD7" w:rsidRPr="00EA175D" w:rsidRDefault="008A2AD7" w:rsidP="00EA175D">
      <w:pPr>
        <w:spacing w:line="360" w:lineRule="auto"/>
        <w:ind w:firstLine="567"/>
        <w:jc w:val="both"/>
        <w:rPr>
          <w:b/>
          <w:u w:val="single"/>
        </w:rPr>
      </w:pPr>
      <w:r w:rsidRPr="00EA175D">
        <w:rPr>
          <w:b/>
          <w:u w:val="single"/>
        </w:rPr>
        <w:t>Оперативна програма „Иновации и конкурентоспособност“ 2014 – 2020</w:t>
      </w:r>
      <w:r w:rsidR="00E016A5" w:rsidRPr="00EA175D">
        <w:rPr>
          <w:b/>
          <w:u w:val="single"/>
        </w:rPr>
        <w:t xml:space="preserve"> г.</w:t>
      </w:r>
    </w:p>
    <w:p w14:paraId="29D5DEF7" w14:textId="77777777" w:rsidR="008A2AD7" w:rsidRPr="00EA175D" w:rsidRDefault="008A2AD7" w:rsidP="00EA175D">
      <w:pPr>
        <w:spacing w:line="360" w:lineRule="auto"/>
        <w:ind w:firstLine="567"/>
        <w:jc w:val="both"/>
      </w:pPr>
      <w:r w:rsidRPr="00EA175D">
        <w:t xml:space="preserve">От сключените 170 административни договора, 106 договора са приключили и </w:t>
      </w:r>
      <w:r w:rsidR="007835C2" w:rsidRPr="00EA175D">
        <w:t xml:space="preserve">по тях </w:t>
      </w:r>
      <w:r w:rsidRPr="00EA175D">
        <w:t xml:space="preserve">са изплатени общо 27 400 681,03 лева. Това означава, че </w:t>
      </w:r>
      <w:r w:rsidR="007835C2" w:rsidRPr="00EA175D">
        <w:t>към 30.09.2021 г. степента на разплащане е</w:t>
      </w:r>
      <w:r w:rsidRPr="00EA175D">
        <w:t xml:space="preserve"> 62,61 % от </w:t>
      </w:r>
      <w:r w:rsidR="00AB4757" w:rsidRPr="00EA175D">
        <w:t>размера</w:t>
      </w:r>
      <w:r w:rsidRPr="00EA175D">
        <w:t xml:space="preserve"> на договорената безвъзмездна финансова помощ 43 760 695,03 лева или 47,83 % от общия бюджет по ОПИК </w:t>
      </w:r>
      <w:r w:rsidR="009D7A19" w:rsidRPr="00EA175D">
        <w:t xml:space="preserve">2014 – 2020 г. </w:t>
      </w:r>
      <w:r w:rsidR="007835C2" w:rsidRPr="00EA175D">
        <w:t>–</w:t>
      </w:r>
      <w:r w:rsidRPr="00EA175D">
        <w:t xml:space="preserve"> 57 292 576,00 лева. </w:t>
      </w:r>
    </w:p>
    <w:p w14:paraId="0CD760BB" w14:textId="77777777" w:rsidR="008A2AD7" w:rsidRPr="00EA175D" w:rsidRDefault="008A2AD7" w:rsidP="00EA175D">
      <w:pPr>
        <w:spacing w:line="360" w:lineRule="auto"/>
        <w:ind w:firstLine="567"/>
        <w:jc w:val="both"/>
      </w:pPr>
    </w:p>
    <w:p w14:paraId="3DA6A5D9" w14:textId="77777777" w:rsidR="008A2AD7" w:rsidRPr="00EA175D" w:rsidRDefault="008A2AD7" w:rsidP="00EA175D">
      <w:pPr>
        <w:spacing w:line="360" w:lineRule="auto"/>
        <w:ind w:firstLine="567"/>
        <w:jc w:val="both"/>
        <w:rPr>
          <w:b/>
          <w:u w:val="single"/>
        </w:rPr>
      </w:pPr>
      <w:r w:rsidRPr="00EA175D">
        <w:rPr>
          <w:b/>
          <w:u w:val="single"/>
        </w:rPr>
        <w:t>Оперативна програмата „Развитие на човешките ресурси“ 2014 – 2020</w:t>
      </w:r>
      <w:r w:rsidR="00AA2DD9" w:rsidRPr="00EA175D">
        <w:rPr>
          <w:b/>
          <w:u w:val="single"/>
        </w:rPr>
        <w:t xml:space="preserve"> г.</w:t>
      </w:r>
    </w:p>
    <w:p w14:paraId="3D354D59" w14:textId="5D9CF510" w:rsidR="008A2AD7" w:rsidRPr="00EA175D" w:rsidRDefault="008A2AD7" w:rsidP="00EA175D">
      <w:pPr>
        <w:spacing w:line="360" w:lineRule="auto"/>
        <w:ind w:firstLine="567"/>
        <w:jc w:val="both"/>
      </w:pPr>
      <w:r w:rsidRPr="00EA175D">
        <w:t xml:space="preserve">От сключените </w:t>
      </w:r>
      <w:r w:rsidR="002C2201" w:rsidRPr="00EA175D">
        <w:t>307</w:t>
      </w:r>
      <w:r w:rsidRPr="00EA175D">
        <w:t xml:space="preserve"> административни договора, 143 договора са приключили и </w:t>
      </w:r>
      <w:r w:rsidR="00014EEA" w:rsidRPr="00EA175D">
        <w:t xml:space="preserve">по тях </w:t>
      </w:r>
      <w:r w:rsidRPr="00EA175D">
        <w:t>са изплатени общо 2</w:t>
      </w:r>
      <w:r w:rsidR="002C2201" w:rsidRPr="00EA175D">
        <w:t>4</w:t>
      </w:r>
      <w:r w:rsidRPr="00EA175D">
        <w:t xml:space="preserve"> 4</w:t>
      </w:r>
      <w:r w:rsidR="002C2201" w:rsidRPr="00EA175D">
        <w:t>31</w:t>
      </w:r>
      <w:r w:rsidRPr="00EA175D">
        <w:t xml:space="preserve"> </w:t>
      </w:r>
      <w:r w:rsidR="002C2201" w:rsidRPr="00EA175D">
        <w:t>234</w:t>
      </w:r>
      <w:r w:rsidRPr="00EA175D">
        <w:t>,</w:t>
      </w:r>
      <w:r w:rsidR="002C2201" w:rsidRPr="00EA175D">
        <w:t>93</w:t>
      </w:r>
      <w:r w:rsidRPr="00EA175D">
        <w:t xml:space="preserve"> лева. Това означава, че са изплатени 60,57 % от </w:t>
      </w:r>
      <w:r w:rsidR="00AB4757" w:rsidRPr="00EA175D">
        <w:t>размера</w:t>
      </w:r>
      <w:r w:rsidRPr="00EA175D">
        <w:t xml:space="preserve"> на договорената безвъзмездна финансова помощ от 38 787 903,25 лева или 51,84 % от общия бюджет по ОПРЧР </w:t>
      </w:r>
      <w:r w:rsidR="009D7A19" w:rsidRPr="00EA175D">
        <w:t xml:space="preserve">2014 – 2020 г. </w:t>
      </w:r>
      <w:r w:rsidRPr="00EA175D">
        <w:t>от 45 324 223 лв.</w:t>
      </w:r>
    </w:p>
    <w:p w14:paraId="40E52F2A" w14:textId="77777777" w:rsidR="008A2AD7" w:rsidRPr="00EA175D" w:rsidRDefault="008A2AD7" w:rsidP="00EA175D">
      <w:pPr>
        <w:spacing w:line="360" w:lineRule="auto"/>
        <w:ind w:firstLine="567"/>
        <w:jc w:val="both"/>
      </w:pPr>
    </w:p>
    <w:p w14:paraId="334F4450" w14:textId="77777777" w:rsidR="008A2AD7" w:rsidRPr="00EA175D" w:rsidRDefault="008A2AD7" w:rsidP="00EA175D">
      <w:pPr>
        <w:spacing w:line="360" w:lineRule="auto"/>
        <w:ind w:firstLine="567"/>
        <w:jc w:val="both"/>
        <w:rPr>
          <w:b/>
          <w:u w:val="single"/>
        </w:rPr>
      </w:pPr>
      <w:r w:rsidRPr="00EA175D">
        <w:rPr>
          <w:b/>
          <w:u w:val="single"/>
        </w:rPr>
        <w:t>Оперативна програма „Наука и образование за интелигентен растеж“ 2014 – 2020</w:t>
      </w:r>
      <w:r w:rsidR="00AA2DD9" w:rsidRPr="00EA175D">
        <w:rPr>
          <w:b/>
          <w:u w:val="single"/>
        </w:rPr>
        <w:t xml:space="preserve"> г.</w:t>
      </w:r>
    </w:p>
    <w:p w14:paraId="02FC73AE" w14:textId="77777777" w:rsidR="008A2AD7" w:rsidRPr="00EA175D" w:rsidRDefault="008A2AD7" w:rsidP="00EA175D">
      <w:pPr>
        <w:spacing w:line="360" w:lineRule="auto"/>
        <w:ind w:firstLine="567"/>
        <w:jc w:val="both"/>
      </w:pPr>
      <w:r w:rsidRPr="00EA175D">
        <w:t xml:space="preserve">От сключените 49 административни договора, </w:t>
      </w:r>
      <w:r w:rsidR="00CC6D86" w:rsidRPr="00EA175D">
        <w:t xml:space="preserve">все още </w:t>
      </w:r>
      <w:r w:rsidRPr="00EA175D">
        <w:t xml:space="preserve">няма приключили договори, тъй като продължителността на всеки договор по програмата е 24 месеца. По договорите, които се изпълняват са изплатени общо 2 241 890,45 лева. Това означава, че са изплатени 28,22% от </w:t>
      </w:r>
      <w:r w:rsidR="00CC6D86" w:rsidRPr="00EA175D">
        <w:t>размера</w:t>
      </w:r>
      <w:r w:rsidRPr="00EA175D">
        <w:t xml:space="preserve"> на договорената безвъзмездна финансова помощ от 7 944 197,62 лева или 22,08% от общия бюджет по ОПНОИР </w:t>
      </w:r>
      <w:r w:rsidR="009D7A19" w:rsidRPr="00EA175D">
        <w:t xml:space="preserve">2014 – 2020 г. </w:t>
      </w:r>
      <w:r w:rsidRPr="00EA175D">
        <w:t>от</w:t>
      </w:r>
      <w:r w:rsidR="00CC6D86" w:rsidRPr="00EA175D">
        <w:t xml:space="preserve"> </w:t>
      </w:r>
      <w:r w:rsidRPr="00EA175D">
        <w:t xml:space="preserve">10 153 634,80 лева. </w:t>
      </w:r>
    </w:p>
    <w:p w14:paraId="29EE79AF" w14:textId="77777777" w:rsidR="008A2AD7" w:rsidRPr="00EA175D" w:rsidRDefault="008A2AD7" w:rsidP="00EA175D">
      <w:pPr>
        <w:spacing w:line="360" w:lineRule="auto"/>
        <w:ind w:firstLine="567"/>
        <w:jc w:val="both"/>
      </w:pPr>
    </w:p>
    <w:p w14:paraId="3CBEED24" w14:textId="77777777" w:rsidR="008A2AD7" w:rsidRPr="00EA175D" w:rsidRDefault="008A2AD7" w:rsidP="00EA175D">
      <w:pPr>
        <w:spacing w:line="360" w:lineRule="auto"/>
        <w:ind w:firstLine="567"/>
        <w:jc w:val="both"/>
        <w:rPr>
          <w:b/>
          <w:u w:val="single"/>
        </w:rPr>
      </w:pPr>
      <w:r w:rsidRPr="00EA175D">
        <w:rPr>
          <w:b/>
          <w:u w:val="single"/>
        </w:rPr>
        <w:t>Оперативна програма „Околна среда“ 2014 – 2020</w:t>
      </w:r>
      <w:r w:rsidR="00CC6D86" w:rsidRPr="00EA175D">
        <w:rPr>
          <w:b/>
          <w:u w:val="single"/>
        </w:rPr>
        <w:t xml:space="preserve"> г.</w:t>
      </w:r>
    </w:p>
    <w:p w14:paraId="039C6243" w14:textId="77777777" w:rsidR="00961092" w:rsidRPr="00EA175D" w:rsidRDefault="008A2AD7" w:rsidP="00EA175D">
      <w:pPr>
        <w:spacing w:line="360" w:lineRule="auto"/>
        <w:ind w:firstLine="567"/>
        <w:jc w:val="both"/>
      </w:pPr>
      <w:r w:rsidRPr="00EA175D">
        <w:lastRenderedPageBreak/>
        <w:t xml:space="preserve">От сключените 9 административни договора, няма приключили договори, тъй като продължителността на всеки договор по програмата е над 24 месеца. По договорите, които се изпълняват са изплатени общо 4 011 460,42 лева. Това означава, че са изплатени 38,90% от стойността на договорената безвъзмездна финансова помощ от 10 313 545,11 лева или 29,78% от общия бюджет по ОПОС </w:t>
      </w:r>
      <w:r w:rsidR="009D7A19" w:rsidRPr="00EA175D">
        <w:t xml:space="preserve">2014 – 2020 г. </w:t>
      </w:r>
      <w:r w:rsidRPr="00EA175D">
        <w:t>от 13 472 431,06 лева.</w:t>
      </w:r>
    </w:p>
    <w:p w14:paraId="21725233" w14:textId="77777777" w:rsidR="00CC6D86" w:rsidRPr="00EA175D" w:rsidRDefault="007F6614" w:rsidP="00EA175D">
      <w:pPr>
        <w:spacing w:line="360" w:lineRule="auto"/>
        <w:ind w:firstLine="567"/>
        <w:jc w:val="both"/>
      </w:pPr>
      <w:r w:rsidRPr="00EA175D">
        <w:t xml:space="preserve">Подборни данни относно възстановяването на средства по всяка от финансиращите програми е представена в </w:t>
      </w:r>
      <w:r w:rsidRPr="00EA175D">
        <w:rPr>
          <w:b/>
          <w:bCs/>
        </w:rPr>
        <w:t>Приложение №</w:t>
      </w:r>
      <w:r w:rsidR="00546A88" w:rsidRPr="00EA175D">
        <w:rPr>
          <w:b/>
          <w:bCs/>
        </w:rPr>
        <w:t xml:space="preserve"> 2</w:t>
      </w:r>
      <w:r w:rsidRPr="00EA175D">
        <w:t>.</w:t>
      </w:r>
    </w:p>
    <w:p w14:paraId="39C8284C" w14:textId="77777777" w:rsidR="00CC6D86" w:rsidRPr="00EA175D" w:rsidRDefault="00CC6D86" w:rsidP="00EA175D">
      <w:pPr>
        <w:spacing w:line="360" w:lineRule="auto"/>
        <w:ind w:firstLine="567"/>
        <w:jc w:val="both"/>
      </w:pPr>
    </w:p>
    <w:p w14:paraId="4EBEC72C" w14:textId="77777777" w:rsidR="007F6614" w:rsidRPr="00EA175D" w:rsidRDefault="007F6614" w:rsidP="00EA175D">
      <w:pPr>
        <w:spacing w:line="360" w:lineRule="auto"/>
        <w:ind w:firstLine="567"/>
        <w:jc w:val="both"/>
      </w:pPr>
      <w:r w:rsidRPr="00EA175D">
        <w:t>Графика. Дял на възстановените на средствата по подхода ВОМР по финансиращи програми въз основа на договорените към МИГ средства.</w:t>
      </w:r>
    </w:p>
    <w:p w14:paraId="07EBBB7A" w14:textId="77777777" w:rsidR="007F6614" w:rsidRPr="00EA175D" w:rsidRDefault="002A495E" w:rsidP="00EA175D">
      <w:pPr>
        <w:spacing w:line="360" w:lineRule="auto"/>
        <w:ind w:firstLine="567"/>
        <w:jc w:val="both"/>
      </w:pPr>
      <w:r w:rsidRPr="00EA175D">
        <w:rPr>
          <w:lang w:val="it-IT" w:eastAsia="it-IT"/>
        </w:rPr>
        <w:drawing>
          <wp:inline distT="0" distB="0" distL="0" distR="0" wp14:anchorId="125907C4" wp14:editId="7C8B97FB">
            <wp:extent cx="4572000" cy="2743200"/>
            <wp:effectExtent l="0" t="0" r="19050" b="1905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983FEA6" w14:textId="77777777" w:rsidR="002A495E" w:rsidRPr="00EA175D" w:rsidRDefault="002A495E" w:rsidP="00EA175D">
      <w:pPr>
        <w:spacing w:line="360" w:lineRule="auto"/>
        <w:ind w:firstLine="567"/>
        <w:jc w:val="both"/>
      </w:pPr>
    </w:p>
    <w:p w14:paraId="57CD2382" w14:textId="77777777" w:rsidR="002A495E" w:rsidRPr="00EA175D" w:rsidRDefault="002A495E" w:rsidP="00EA175D">
      <w:pPr>
        <w:spacing w:line="360" w:lineRule="auto"/>
        <w:ind w:firstLine="567"/>
        <w:jc w:val="both"/>
        <w:rPr>
          <w:b/>
        </w:rPr>
      </w:pPr>
      <w:r w:rsidRPr="00EA175D">
        <w:rPr>
          <w:b/>
        </w:rPr>
        <w:t>Заключение</w:t>
      </w:r>
    </w:p>
    <w:p w14:paraId="73D82025" w14:textId="77777777" w:rsidR="002A495E" w:rsidRPr="00EA175D" w:rsidRDefault="002A495E" w:rsidP="00EA175D">
      <w:pPr>
        <w:spacing w:line="360" w:lineRule="auto"/>
        <w:ind w:firstLine="567"/>
        <w:jc w:val="both"/>
      </w:pPr>
      <w:r w:rsidRPr="00EA175D">
        <w:t xml:space="preserve">Представените в тази част на оценката данни показват, че две от финансиращите стратегиите за ВОМР програми, които са с най-висок дял на договаряне са и с най-висок дял на възстановяване на средствата – това са ОПИК 2014 – 2020 г. и ОПРЧР 2014 – 2020 г. </w:t>
      </w:r>
      <w:r w:rsidR="00612DE4" w:rsidRPr="00EA175D">
        <w:t xml:space="preserve">Това е свидетелство за много добра работа при управлението на прилагането на подхода ВОМР. Останалите програми, особено ПРСР 2014 – 2020 г. изостават с възстановяването на средствата. Докато, поради спецификите на програмите и </w:t>
      </w:r>
      <w:r w:rsidR="00612DE4" w:rsidRPr="00EA175D">
        <w:lastRenderedPageBreak/>
        <w:t xml:space="preserve">сравнително малкия брой проекти и договорени средства, ОПНОИР 2014 – 2020 г. и ОПОС 2014 – 2020 г. могат да наваксат изоставането, то при ПРСР 2014 – 2020 г. са необходими по-целенасочени усилия за ускоряване на процеса на възстановяване на извършените от бенефициентите разходи, като по-този начин не се допусне риск за успешното изпълнение на подхода ВОМР. </w:t>
      </w:r>
    </w:p>
    <w:p w14:paraId="45561730" w14:textId="77777777" w:rsidR="00F46353" w:rsidRPr="00F77584" w:rsidRDefault="00F46353" w:rsidP="00EA175D">
      <w:pPr>
        <w:pStyle w:val="1"/>
        <w:numPr>
          <w:ilvl w:val="1"/>
          <w:numId w:val="1"/>
        </w:numPr>
        <w:tabs>
          <w:tab w:val="left" w:pos="993"/>
        </w:tabs>
        <w:spacing w:line="360" w:lineRule="auto"/>
        <w:ind w:left="0" w:firstLine="567"/>
        <w:jc w:val="both"/>
        <w:rPr>
          <w:rFonts w:ascii="Times New Roman" w:hAnsi="Times New Roman" w:cs="Times New Roman"/>
          <w:color w:val="auto"/>
          <w:sz w:val="24"/>
          <w:szCs w:val="24"/>
          <w:lang w:val="ru-RU"/>
        </w:rPr>
      </w:pPr>
      <w:bookmarkStart w:id="31" w:name="_Toc93489784"/>
      <w:r w:rsidRPr="00EA175D">
        <w:rPr>
          <w:rFonts w:ascii="Times New Roman" w:hAnsi="Times New Roman" w:cs="Times New Roman"/>
          <w:color w:val="auto"/>
          <w:sz w:val="24"/>
          <w:szCs w:val="24"/>
        </w:rPr>
        <w:t>Оценка на работата на МИГ с местните общности – извършени обучения, информационни кампании (информационни срещи и конференции, информационни</w:t>
      </w:r>
      <w:r w:rsidR="00961092" w:rsidRPr="00EA175D">
        <w:rPr>
          <w:rFonts w:ascii="Times New Roman" w:hAnsi="Times New Roman" w:cs="Times New Roman"/>
          <w:color w:val="auto"/>
          <w:sz w:val="24"/>
          <w:szCs w:val="24"/>
        </w:rPr>
        <w:t xml:space="preserve"> материали,  публикации и др.)</w:t>
      </w:r>
      <w:bookmarkEnd w:id="31"/>
    </w:p>
    <w:p w14:paraId="12C46E12" w14:textId="77777777" w:rsidR="00CB2AFC" w:rsidRPr="00EA175D" w:rsidRDefault="00CB2AFC" w:rsidP="00EA175D">
      <w:pPr>
        <w:spacing w:line="360" w:lineRule="auto"/>
        <w:ind w:firstLine="567"/>
        <w:jc w:val="both"/>
      </w:pPr>
      <w:r w:rsidRPr="00EA175D">
        <w:t>Основните задачи на местните инициативни групи, прилагащи подхода ВОМР са посочени в чл. 34, пар. от Регламент (ЕС) 1303</w:t>
      </w:r>
      <w:r w:rsidRPr="00F77584">
        <w:rPr>
          <w:lang w:val="ru-RU"/>
        </w:rPr>
        <w:t>/2013</w:t>
      </w:r>
      <w:r w:rsidRPr="00EA175D">
        <w:t>. Най-общо те се състоят в подготовка и изпълнение на стратегии за ВОМР, като този процес включва редица дейности.</w:t>
      </w:r>
    </w:p>
    <w:p w14:paraId="14BF7605" w14:textId="77777777" w:rsidR="00CB2AFC" w:rsidRPr="00EA175D" w:rsidRDefault="00CA0E66" w:rsidP="00EA175D">
      <w:pPr>
        <w:spacing w:line="360" w:lineRule="auto"/>
        <w:ind w:firstLine="567"/>
        <w:jc w:val="both"/>
      </w:pPr>
      <w:r w:rsidRPr="00EA175D">
        <w:t>Съгласно чл. 34, пар. 3 от Регламент (ЕС) 1303</w:t>
      </w:r>
      <w:r w:rsidRPr="00F77584">
        <w:rPr>
          <w:lang w:val="ru-RU"/>
        </w:rPr>
        <w:t xml:space="preserve">/2013 </w:t>
      </w:r>
      <w:r w:rsidRPr="00EA175D">
        <w:t xml:space="preserve">една от основните задачи на местните инициативни групи е изграждане на капацитета на местните участници за разработване и изпълнение на операции, включително поощряване на способностите им за управление на проекти. </w:t>
      </w:r>
    </w:p>
    <w:p w14:paraId="101F4A41" w14:textId="77777777" w:rsidR="006A09C7" w:rsidRPr="00EA175D" w:rsidRDefault="006A09C7" w:rsidP="00EA175D">
      <w:pPr>
        <w:spacing w:line="360" w:lineRule="auto"/>
        <w:ind w:firstLine="567"/>
        <w:jc w:val="both"/>
      </w:pPr>
      <w:r w:rsidRPr="00EA175D">
        <w:t xml:space="preserve">Съгласно Споразумението за партньорство и нормативната уредба по подхода ВОМР, финансирането на дейностите, свъзрани с управление на изпълнението и популяризирането на стратегиите за ВОМР се осигурява от ЕЗФРСР и се осъществява по подмярка 19.4 „Текущи разходи и популяризиране на стратегия за ВОМР“. За целта при одобрение на стратегиите за ВОМР на всяка МИГ е предоставен бюджет за </w:t>
      </w:r>
      <w:r w:rsidR="00460639" w:rsidRPr="00EA175D">
        <w:t>тези дейности, който не може да надхвърля 25% от бюджета (предоставен от ЕЗФРСР) на цялата стратегия за ВОМР.</w:t>
      </w:r>
      <w:r w:rsidRPr="00EA175D">
        <w:t xml:space="preserve"> </w:t>
      </w:r>
      <w:r w:rsidR="00460639" w:rsidRPr="00EA175D">
        <w:t>По подмярка 19.4 към МИГ са договорени общо 59 384 270,02 лв. или 30 363 160,87 евро.</w:t>
      </w:r>
      <w:r w:rsidR="003617A7" w:rsidRPr="00EA175D">
        <w:t xml:space="preserve"> Към момента на оценката по подмярка 19.4 от ДФЗ посредством 615 заявки за възстановяване на извършени разходи са изплатени 29 406 331,67 лв.</w:t>
      </w:r>
    </w:p>
    <w:p w14:paraId="1B704814" w14:textId="77777777" w:rsidR="003617A7" w:rsidRPr="00EA175D" w:rsidRDefault="00235DEC" w:rsidP="00EA175D">
      <w:pPr>
        <w:spacing w:line="360" w:lineRule="auto"/>
        <w:ind w:firstLine="567"/>
        <w:jc w:val="both"/>
      </w:pPr>
      <w:r w:rsidRPr="00EA175D">
        <w:t>Графика. Договорени и разплатени към МИГ средства по подмярка 19.4.</w:t>
      </w:r>
    </w:p>
    <w:p w14:paraId="3D89DE0A" w14:textId="77777777" w:rsidR="00235DEC" w:rsidRPr="00EA175D" w:rsidRDefault="009F2FB0" w:rsidP="00EA175D">
      <w:pPr>
        <w:spacing w:line="360" w:lineRule="auto"/>
        <w:ind w:firstLine="567"/>
        <w:jc w:val="both"/>
      </w:pPr>
      <w:r w:rsidRPr="00EA175D">
        <w:rPr>
          <w:lang w:val="it-IT" w:eastAsia="it-IT"/>
        </w:rPr>
        <w:lastRenderedPageBreak/>
        <mc:AlternateContent>
          <mc:Choice Requires="wps">
            <w:drawing>
              <wp:anchor distT="0" distB="0" distL="114300" distR="114300" simplePos="0" relativeHeight="251685888" behindDoc="0" locked="0" layoutInCell="1" allowOverlap="1" wp14:anchorId="125277B7" wp14:editId="00C760F4">
                <wp:simplePos x="0" y="0"/>
                <wp:positionH relativeFrom="column">
                  <wp:posOffset>2605602</wp:posOffset>
                </wp:positionH>
                <wp:positionV relativeFrom="paragraph">
                  <wp:posOffset>491490</wp:posOffset>
                </wp:positionV>
                <wp:extent cx="2207172" cy="1403985"/>
                <wp:effectExtent l="0" t="0" r="3175"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7172" cy="1403985"/>
                        </a:xfrm>
                        <a:prstGeom prst="rect">
                          <a:avLst/>
                        </a:prstGeom>
                        <a:solidFill>
                          <a:srgbClr val="FFFFFF"/>
                        </a:solidFill>
                        <a:ln w="9525">
                          <a:noFill/>
                          <a:miter lim="800000"/>
                          <a:headEnd/>
                          <a:tailEnd/>
                        </a:ln>
                      </wps:spPr>
                      <wps:txbx>
                        <w:txbxContent>
                          <w:p w14:paraId="6C8F7568" w14:textId="77777777" w:rsidR="006C23D3" w:rsidRPr="009F2FB0" w:rsidRDefault="006C23D3">
                            <w:pPr>
                              <w:rPr>
                                <w:rFonts w:asciiTheme="minorHAnsi" w:hAnsiTheme="minorHAnsi" w:cstheme="minorHAnsi"/>
                                <w:sz w:val="20"/>
                                <w:szCs w:val="20"/>
                                <w:lang w:val="en-GB"/>
                              </w:rPr>
                            </w:pPr>
                            <w:r w:rsidRPr="009F2FB0">
                              <w:rPr>
                                <w:rFonts w:asciiTheme="minorHAnsi" w:hAnsiTheme="minorHAnsi" w:cstheme="minorHAnsi"/>
                                <w:sz w:val="20"/>
                                <w:szCs w:val="20"/>
                              </w:rPr>
                              <w:t xml:space="preserve">Усвояемост на средствата </w:t>
                            </w:r>
                            <w:r>
                              <w:rPr>
                                <w:rFonts w:asciiTheme="minorHAnsi" w:hAnsiTheme="minorHAnsi" w:cstheme="minorHAnsi"/>
                                <w:sz w:val="20"/>
                                <w:szCs w:val="20"/>
                              </w:rPr>
                              <w:t>–</w:t>
                            </w:r>
                            <w:r w:rsidRPr="009F2FB0">
                              <w:rPr>
                                <w:rFonts w:asciiTheme="minorHAnsi" w:hAnsiTheme="minorHAnsi" w:cstheme="minorHAnsi"/>
                                <w:sz w:val="20"/>
                                <w:szCs w:val="20"/>
                              </w:rPr>
                              <w:t xml:space="preserve"> </w:t>
                            </w:r>
                            <w:r>
                              <w:rPr>
                                <w:rFonts w:asciiTheme="minorHAnsi" w:hAnsiTheme="minorHAnsi" w:cstheme="minorHAnsi"/>
                                <w:sz w:val="20"/>
                                <w:szCs w:val="20"/>
                                <w:lang w:val="en-GB"/>
                              </w:rPr>
                              <w:t>49,52%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 Box 2" o:spid="_x0000_s1034" type="#_x0000_t202" style="position:absolute;left:0;text-align:left;margin-left:205.15pt;margin-top:38.7pt;width:173.8pt;height:110.55pt;z-index:2516858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" stroked="f">
                <v:textbox style="mso-fit-shape-to-text:t">
                  <w:txbxContent>
                    <w:p w14:paraId="6C8F7568" w14:textId="77777777" w:rsidR="00165A99" w:rsidRPr="009F2FB0" w:rsidRDefault="00165A99">
                      <w:pPr>
                        <w:rPr>
                          <w:rFonts w:asciiTheme="minorHAnsi" w:hAnsiTheme="minorHAnsi" w:cstheme="minorHAnsi"/>
                          <w:sz w:val="20"/>
                          <w:szCs w:val="20"/>
                          <w:lang w:val="en-GB"/>
                        </w:rPr>
                      </w:pPr>
                      <w:r w:rsidRPr="009F2FB0">
                        <w:rPr>
                          <w:rFonts w:asciiTheme="minorHAnsi" w:hAnsiTheme="minorHAnsi" w:cstheme="minorHAnsi"/>
                          <w:sz w:val="20"/>
                          <w:szCs w:val="20"/>
                        </w:rPr>
                        <w:t xml:space="preserve">Усвояемост на средствата </w:t>
                      </w:r>
                      <w:r>
                        <w:rPr>
                          <w:rFonts w:asciiTheme="minorHAnsi" w:hAnsiTheme="minorHAnsi" w:cstheme="minorHAnsi"/>
                          <w:sz w:val="20"/>
                          <w:szCs w:val="20"/>
                        </w:rPr>
                        <w:t>–</w:t>
                      </w:r>
                      <w:r w:rsidRPr="009F2FB0">
                        <w:rPr>
                          <w:rFonts w:asciiTheme="minorHAnsi" w:hAnsiTheme="minorHAnsi" w:cstheme="minorHAnsi"/>
                          <w:sz w:val="20"/>
                          <w:szCs w:val="20"/>
                        </w:rPr>
                        <w:t xml:space="preserve"> </w:t>
                      </w:r>
                      <w:r>
                        <w:rPr>
                          <w:rFonts w:asciiTheme="minorHAnsi" w:hAnsiTheme="minorHAnsi" w:cstheme="minorHAnsi"/>
                          <w:sz w:val="20"/>
                          <w:szCs w:val="20"/>
                          <w:lang w:val="en-GB"/>
                        </w:rPr>
                        <w:t>49,52%</w:t>
                      </w:r>
                    </w:p>
                  </w:txbxContent>
                </v:textbox>
              </v:shape>
            </w:pict>
          </mc:Fallback>
        </mc:AlternateContent>
      </w:r>
      <w:r w:rsidR="00235DEC" w:rsidRPr="00EA175D">
        <w:rPr>
          <w:lang w:val="it-IT" w:eastAsia="it-IT"/>
        </w:rPr>
        <w:drawing>
          <wp:inline distT="0" distB="0" distL="0" distR="0" wp14:anchorId="7BDF3054" wp14:editId="3C4DEF7E">
            <wp:extent cx="4572000" cy="2743200"/>
            <wp:effectExtent l="0" t="0" r="19050" b="1905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6D17F701" w14:textId="77777777" w:rsidR="00235DEC" w:rsidRPr="00EA175D" w:rsidRDefault="00235DEC" w:rsidP="00EA175D">
      <w:pPr>
        <w:spacing w:line="360" w:lineRule="auto"/>
        <w:ind w:firstLine="567"/>
        <w:jc w:val="both"/>
      </w:pPr>
    </w:p>
    <w:p w14:paraId="4B6BC53E" w14:textId="77777777" w:rsidR="00104C1C" w:rsidRPr="00EA175D" w:rsidRDefault="00CA0E66" w:rsidP="00EA175D">
      <w:pPr>
        <w:spacing w:line="360" w:lineRule="auto"/>
        <w:ind w:firstLine="567"/>
        <w:jc w:val="both"/>
      </w:pPr>
      <w:r w:rsidRPr="00EA175D">
        <w:t xml:space="preserve">В основната си част </w:t>
      </w:r>
      <w:r w:rsidR="00235DEC" w:rsidRPr="00EA175D">
        <w:t xml:space="preserve">управлението и популяризирането на стратергиите за ВОМР </w:t>
      </w:r>
      <w:r w:rsidRPr="00EA175D">
        <w:t>е свързан</w:t>
      </w:r>
      <w:r w:rsidR="00D730DB" w:rsidRPr="00EA175D">
        <w:t>о</w:t>
      </w:r>
      <w:r w:rsidRPr="00EA175D">
        <w:t xml:space="preserve"> с работа с местните общности. </w:t>
      </w:r>
      <w:r w:rsidR="00CB2AFC" w:rsidRPr="00EA175D">
        <w:t>В нормативната уредба по прилагането на подхода ВОМР в България УО на ПРСР 2014 – 2020 г. е определил работата с местните общности за популяризиране на стратегиите за ВОМР и за придобиване на информираност и умения да се състои от следните видове дейности:</w:t>
      </w:r>
      <w:r w:rsidRPr="00EA175D">
        <w:t xml:space="preserve"> провеждането на работни срещи, обучения, информационни кампании и консултации за местните общности по теми, свързани с прилагането на подхода ВОМР и стратегиите за ВОМР за всяка съответна територия. </w:t>
      </w:r>
      <w:r w:rsidR="00CB2AFC" w:rsidRPr="00EA175D">
        <w:t xml:space="preserve">С изключение на консултациите за останалите дейности има изготвени опростени варианти на разходите и тяхното извършване е остойностено с фиксирани разходи. </w:t>
      </w:r>
      <w:r w:rsidRPr="00EA175D">
        <w:t xml:space="preserve">Като цяло към 31.12.2020 г. </w:t>
      </w:r>
      <w:r w:rsidR="00104C1C" w:rsidRPr="00EA175D">
        <w:t>(</w:t>
      </w:r>
      <w:r w:rsidRPr="00EA175D">
        <w:t xml:space="preserve">периодът включва </w:t>
      </w:r>
      <w:r w:rsidR="00104C1C" w:rsidRPr="00EA175D">
        <w:t>2016 г., 2017 г. ,2018 г., 2019 г. и 2020 г.) МИГ</w:t>
      </w:r>
      <w:r w:rsidRPr="00EA175D">
        <w:t>, изпълняващи стратегии за ВОМР</w:t>
      </w:r>
      <w:r w:rsidR="00104C1C" w:rsidRPr="00EA175D">
        <w:t xml:space="preserve"> са осъществени </w:t>
      </w:r>
      <w:r w:rsidRPr="00EA175D">
        <w:t xml:space="preserve">общо </w:t>
      </w:r>
      <w:r w:rsidR="00104C1C" w:rsidRPr="00EA175D">
        <w:t xml:space="preserve">следните </w:t>
      </w:r>
      <w:r w:rsidRPr="00EA175D">
        <w:t xml:space="preserve">дейности, свързани с работни срещи, </w:t>
      </w:r>
      <w:r w:rsidR="00104C1C" w:rsidRPr="00EA175D">
        <w:t>обучения</w:t>
      </w:r>
      <w:r w:rsidRPr="00EA175D">
        <w:t>,</w:t>
      </w:r>
      <w:r w:rsidR="00104C1C" w:rsidRPr="00EA175D">
        <w:t xml:space="preserve"> информационни кампании</w:t>
      </w:r>
      <w:r w:rsidRPr="00EA175D">
        <w:t xml:space="preserve"> и консултации</w:t>
      </w:r>
      <w:r w:rsidR="00104C1C" w:rsidRPr="00EA175D">
        <w:t xml:space="preserve">:  </w:t>
      </w:r>
    </w:p>
    <w:p w14:paraId="007ABA50" w14:textId="77777777" w:rsidR="00104C1C" w:rsidRPr="00EA175D" w:rsidRDefault="00104C1C" w:rsidP="00EA175D">
      <w:pPr>
        <w:pStyle w:val="ab"/>
        <w:numPr>
          <w:ilvl w:val="0"/>
          <w:numId w:val="7"/>
        </w:numPr>
        <w:tabs>
          <w:tab w:val="left" w:pos="851"/>
        </w:tabs>
        <w:spacing w:line="360" w:lineRule="auto"/>
        <w:ind w:left="0" w:firstLine="567"/>
        <w:jc w:val="both"/>
      </w:pPr>
      <w:r w:rsidRPr="00EA175D">
        <w:t xml:space="preserve">Провеждане на еднодневно обучение </w:t>
      </w:r>
      <w:r w:rsidR="00613C7A" w:rsidRPr="00EA175D">
        <w:t>за най-малко 10 участника</w:t>
      </w:r>
      <w:r w:rsidRPr="00EA175D">
        <w:t xml:space="preserve"> – 720 броя;</w:t>
      </w:r>
    </w:p>
    <w:p w14:paraId="7F4A39EB" w14:textId="77777777" w:rsidR="00104C1C" w:rsidRPr="00EA175D" w:rsidRDefault="00104C1C" w:rsidP="00EA175D">
      <w:pPr>
        <w:pStyle w:val="ab"/>
        <w:numPr>
          <w:ilvl w:val="0"/>
          <w:numId w:val="7"/>
        </w:numPr>
        <w:tabs>
          <w:tab w:val="left" w:pos="851"/>
        </w:tabs>
        <w:spacing w:line="360" w:lineRule="auto"/>
        <w:ind w:left="0" w:firstLine="567"/>
        <w:jc w:val="both"/>
      </w:pPr>
      <w:r w:rsidRPr="00EA175D">
        <w:t>Провеждане на еднодневн</w:t>
      </w:r>
      <w:r w:rsidR="001923DA" w:rsidRPr="00EA175D">
        <w:t>о</w:t>
      </w:r>
      <w:r w:rsidRPr="00EA175D">
        <w:t xml:space="preserve"> </w:t>
      </w:r>
      <w:r w:rsidR="001923DA" w:rsidRPr="00EA175D">
        <w:t>обучение</w:t>
      </w:r>
      <w:r w:rsidRPr="00EA175D">
        <w:t xml:space="preserve"> за най-малко 20 участни</w:t>
      </w:r>
      <w:r w:rsidR="00613C7A" w:rsidRPr="00EA175D">
        <w:t>ка</w:t>
      </w:r>
      <w:r w:rsidRPr="00EA175D">
        <w:t xml:space="preserve"> – 307 броя;</w:t>
      </w:r>
    </w:p>
    <w:p w14:paraId="5D9CE8AD" w14:textId="77777777" w:rsidR="00104C1C" w:rsidRPr="00EA175D" w:rsidRDefault="00104C1C" w:rsidP="00EA175D">
      <w:pPr>
        <w:pStyle w:val="ab"/>
        <w:numPr>
          <w:ilvl w:val="0"/>
          <w:numId w:val="7"/>
        </w:numPr>
        <w:tabs>
          <w:tab w:val="left" w:pos="851"/>
        </w:tabs>
        <w:spacing w:line="360" w:lineRule="auto"/>
        <w:ind w:left="0" w:firstLine="567"/>
        <w:jc w:val="both"/>
      </w:pPr>
      <w:r w:rsidRPr="00EA175D">
        <w:t>Провеждане на еднодневна информационна среща/с</w:t>
      </w:r>
      <w:r w:rsidR="00613C7A" w:rsidRPr="00EA175D">
        <w:t>еминар за най-малко 20 участника</w:t>
      </w:r>
      <w:r w:rsidRPr="00EA175D">
        <w:t xml:space="preserve"> – 434 броя;</w:t>
      </w:r>
    </w:p>
    <w:p w14:paraId="67972769" w14:textId="77777777" w:rsidR="00104C1C" w:rsidRPr="00EA175D" w:rsidRDefault="00104C1C" w:rsidP="00EA175D">
      <w:pPr>
        <w:pStyle w:val="ab"/>
        <w:numPr>
          <w:ilvl w:val="0"/>
          <w:numId w:val="7"/>
        </w:numPr>
        <w:tabs>
          <w:tab w:val="left" w:pos="851"/>
        </w:tabs>
        <w:spacing w:line="360" w:lineRule="auto"/>
        <w:ind w:left="0" w:firstLine="567"/>
        <w:jc w:val="both"/>
      </w:pPr>
      <w:r w:rsidRPr="00EA175D">
        <w:lastRenderedPageBreak/>
        <w:t>Провеждане на еднодневна работна среща за най-малко 10 участни</w:t>
      </w:r>
      <w:r w:rsidR="00613C7A" w:rsidRPr="00EA175D">
        <w:t>ка</w:t>
      </w:r>
      <w:r w:rsidRPr="00EA175D">
        <w:t xml:space="preserve"> – 1022 броя;</w:t>
      </w:r>
    </w:p>
    <w:p w14:paraId="2CCFDCEF" w14:textId="77777777" w:rsidR="00104C1C" w:rsidRPr="00EA175D" w:rsidRDefault="00104C1C" w:rsidP="00EA175D">
      <w:pPr>
        <w:pStyle w:val="ab"/>
        <w:numPr>
          <w:ilvl w:val="0"/>
          <w:numId w:val="7"/>
        </w:numPr>
        <w:tabs>
          <w:tab w:val="left" w:pos="851"/>
        </w:tabs>
        <w:spacing w:line="360" w:lineRule="auto"/>
        <w:ind w:left="0" w:firstLine="567"/>
        <w:jc w:val="both"/>
      </w:pPr>
      <w:r w:rsidRPr="00EA175D">
        <w:t>Провеждане на еднодневна информационна конференция за най-малко 50 участни</w:t>
      </w:r>
      <w:r w:rsidR="00613C7A" w:rsidRPr="00EA175D">
        <w:t>ка</w:t>
      </w:r>
      <w:r w:rsidRPr="00EA175D">
        <w:t xml:space="preserve"> – 75;</w:t>
      </w:r>
    </w:p>
    <w:p w14:paraId="3D5B84FB" w14:textId="77777777" w:rsidR="00104C1C" w:rsidRPr="00EA175D" w:rsidRDefault="00104C1C" w:rsidP="00EA175D">
      <w:pPr>
        <w:pStyle w:val="ab"/>
        <w:numPr>
          <w:ilvl w:val="0"/>
          <w:numId w:val="7"/>
        </w:numPr>
        <w:tabs>
          <w:tab w:val="left" w:pos="851"/>
        </w:tabs>
        <w:spacing w:line="360" w:lineRule="auto"/>
        <w:ind w:left="0" w:firstLine="567"/>
        <w:jc w:val="both"/>
      </w:pPr>
      <w:r w:rsidRPr="00EA175D">
        <w:t xml:space="preserve">Проведени консултации с кандидати </w:t>
      </w:r>
      <w:r w:rsidR="00613C7A" w:rsidRPr="00EA175D">
        <w:t>за подаване на проектни предложения към стратегиите за ВОМР от територии</w:t>
      </w:r>
      <w:r w:rsidRPr="00EA175D">
        <w:t>т</w:t>
      </w:r>
      <w:r w:rsidR="00613C7A" w:rsidRPr="00EA175D">
        <w:t>е</w:t>
      </w:r>
      <w:r w:rsidRPr="00EA175D">
        <w:t xml:space="preserve"> на МИГ – 9115 броя</w:t>
      </w:r>
      <w:r w:rsidR="00CA0E66" w:rsidRPr="00EA175D">
        <w:t>.</w:t>
      </w:r>
    </w:p>
    <w:p w14:paraId="7B0967F3" w14:textId="77777777" w:rsidR="00CE2044" w:rsidRPr="00EA175D" w:rsidRDefault="00613C7A" w:rsidP="00EA175D">
      <w:pPr>
        <w:spacing w:line="360" w:lineRule="auto"/>
        <w:ind w:firstLine="567"/>
        <w:jc w:val="both"/>
      </w:pPr>
      <w:r w:rsidRPr="00EA175D">
        <w:t>Групирането на видовете дейности за работа с местните общности е извършено въз основа на определените от УО на ПРСР 2014 – 2020 г. видове опростени разходи, отговарящи за всяка една от дейностите.</w:t>
      </w:r>
    </w:p>
    <w:p w14:paraId="32E5BC28" w14:textId="77777777" w:rsidR="00961092" w:rsidRPr="00EA175D" w:rsidRDefault="00613C7A" w:rsidP="00EA175D">
      <w:pPr>
        <w:spacing w:line="360" w:lineRule="auto"/>
        <w:ind w:firstLine="567"/>
        <w:jc w:val="both"/>
      </w:pPr>
      <w:r w:rsidRPr="00EA175D">
        <w:t xml:space="preserve"> </w:t>
      </w:r>
      <w:r w:rsidR="002650A0" w:rsidRPr="00EA175D">
        <w:t>Графика</w:t>
      </w:r>
    </w:p>
    <w:p w14:paraId="32700D25" w14:textId="77777777" w:rsidR="002650A0" w:rsidRPr="00EA175D" w:rsidRDefault="00DE7A40" w:rsidP="00EA175D">
      <w:pPr>
        <w:spacing w:line="360" w:lineRule="auto"/>
        <w:ind w:firstLine="567"/>
        <w:jc w:val="both"/>
      </w:pPr>
      <w:r w:rsidRPr="00EA175D">
        <w:rPr>
          <w:lang w:val="it-IT" w:eastAsia="it-IT"/>
        </w:rPr>
        <w:drawing>
          <wp:inline distT="0" distB="0" distL="0" distR="0" wp14:anchorId="14E98639" wp14:editId="5DCEFD31">
            <wp:extent cx="4943475" cy="2114550"/>
            <wp:effectExtent l="0" t="0" r="9525" b="1905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0FB50A47" w14:textId="77777777" w:rsidR="002650A0" w:rsidRPr="00EA175D" w:rsidRDefault="002650A0" w:rsidP="00EA175D">
      <w:pPr>
        <w:spacing w:line="360" w:lineRule="auto"/>
        <w:ind w:firstLine="567"/>
        <w:jc w:val="both"/>
      </w:pPr>
    </w:p>
    <w:p w14:paraId="2F58045C" w14:textId="4548C567" w:rsidR="008A3F10" w:rsidRPr="00EA175D" w:rsidRDefault="00202A35" w:rsidP="00EA175D">
      <w:pPr>
        <w:spacing w:line="360" w:lineRule="auto"/>
        <w:ind w:firstLine="567"/>
        <w:jc w:val="both"/>
      </w:pPr>
      <w:r w:rsidRPr="00EA175D">
        <w:t xml:space="preserve">Представената по-горе информация показва извършването на изключително интензивна работа от страна на МИГ с местните общности. </w:t>
      </w:r>
      <w:r w:rsidR="0049782C" w:rsidRPr="00EA175D">
        <w:t>Така</w:t>
      </w:r>
      <w:r w:rsidR="00A7682A" w:rsidRPr="00EA175D">
        <w:t>,</w:t>
      </w:r>
      <w:r w:rsidRPr="00EA175D">
        <w:t xml:space="preserve"> всяка МИГ </w:t>
      </w:r>
      <w:r w:rsidR="0049782C" w:rsidRPr="00EA175D">
        <w:t xml:space="preserve">средно </w:t>
      </w:r>
      <w:r w:rsidRPr="00EA175D">
        <w:t xml:space="preserve">е извършила </w:t>
      </w:r>
      <w:r w:rsidR="0049782C" w:rsidRPr="00EA175D">
        <w:t xml:space="preserve">по 11 еднодневни обучения за най-малко 10 участника; 4,8 еднодневни </w:t>
      </w:r>
      <w:r w:rsidR="00DE7A40" w:rsidRPr="00EA175D">
        <w:t>обучения</w:t>
      </w:r>
      <w:r w:rsidR="0049782C" w:rsidRPr="00EA175D">
        <w:t xml:space="preserve"> за най-малко 20 участника; 6,8 еднодневни информационни срещи</w:t>
      </w:r>
      <w:r w:rsidR="0049782C" w:rsidRPr="00F77584">
        <w:rPr>
          <w:lang w:val="ru-RU"/>
        </w:rPr>
        <w:t>/</w:t>
      </w:r>
      <w:r w:rsidR="0049782C" w:rsidRPr="00EA175D">
        <w:t xml:space="preserve">семинари за най-малко 20 участника; </w:t>
      </w:r>
      <w:r w:rsidR="006E6576" w:rsidRPr="00EA175D">
        <w:t>16 еднодневни работни срещи за най-малко 10 участника и 142 консултации</w:t>
      </w:r>
      <w:r w:rsidR="008A3F10" w:rsidRPr="00EA175D">
        <w:t xml:space="preserve">. </w:t>
      </w:r>
    </w:p>
    <w:p w14:paraId="5EAC0A99" w14:textId="77777777" w:rsidR="00802D5D" w:rsidRPr="00F77584" w:rsidRDefault="00802D5D" w:rsidP="00EA175D">
      <w:pPr>
        <w:spacing w:line="360" w:lineRule="auto"/>
        <w:ind w:firstLine="567"/>
        <w:jc w:val="both"/>
        <w:rPr>
          <w:lang w:val="ru-RU"/>
        </w:rPr>
      </w:pPr>
    </w:p>
    <w:p w14:paraId="55996760" w14:textId="77777777" w:rsidR="00C67A09" w:rsidRPr="00EA175D" w:rsidRDefault="00C67A09" w:rsidP="00EA175D">
      <w:pPr>
        <w:spacing w:line="360" w:lineRule="auto"/>
        <w:ind w:firstLine="567"/>
        <w:jc w:val="both"/>
        <w:rPr>
          <w:b/>
        </w:rPr>
      </w:pPr>
    </w:p>
    <w:p w14:paraId="091F6CDF" w14:textId="7C1F3DF9" w:rsidR="00802D5D" w:rsidRPr="00F77584" w:rsidRDefault="00802D5D" w:rsidP="00EA175D">
      <w:pPr>
        <w:spacing w:line="360" w:lineRule="auto"/>
        <w:ind w:firstLine="567"/>
        <w:jc w:val="both"/>
        <w:rPr>
          <w:b/>
          <w:lang w:val="ru-RU"/>
        </w:rPr>
      </w:pPr>
      <w:r w:rsidRPr="00EA175D">
        <w:rPr>
          <w:b/>
        </w:rPr>
        <w:t>Заключения</w:t>
      </w:r>
    </w:p>
    <w:p w14:paraId="15A05FF6" w14:textId="77777777" w:rsidR="009F2FB0" w:rsidRPr="00EA175D" w:rsidRDefault="009F2FB0" w:rsidP="00EA175D">
      <w:pPr>
        <w:spacing w:line="360" w:lineRule="auto"/>
        <w:ind w:firstLine="567"/>
        <w:jc w:val="both"/>
      </w:pPr>
      <w:r w:rsidRPr="00EA175D">
        <w:lastRenderedPageBreak/>
        <w:t xml:space="preserve">Описаните в настоящата част на оценка дейности се явяват една от основните задачи пред МИГ при изпълнението на техните стратегии за ВОМР. Тези дейности се финансират изцяло от ЕЗФРСР по подмярка 19.4 и се управляват от УО на ПРСР 2014 – 2020 г. и разплащат от ДФЗ. Към 30.09.2021 г. към МИГ са изплатени почти половината (49,52%) от договорените към тях средства по подмярка 19.4, което е показателно за добра работа от страна на МИГ и на разплащателната агенция. </w:t>
      </w:r>
    </w:p>
    <w:p w14:paraId="448E15A4" w14:textId="77777777" w:rsidR="002650A0" w:rsidRPr="00EA175D" w:rsidRDefault="006E6576" w:rsidP="00EA175D">
      <w:pPr>
        <w:spacing w:line="360" w:lineRule="auto"/>
        <w:ind w:firstLine="567"/>
        <w:jc w:val="both"/>
      </w:pPr>
      <w:r w:rsidRPr="00EA175D">
        <w:t xml:space="preserve">Показаните данни </w:t>
      </w:r>
      <w:r w:rsidR="009F2FB0" w:rsidRPr="00EA175D">
        <w:t xml:space="preserve">също така </w:t>
      </w:r>
      <w:r w:rsidRPr="00EA175D">
        <w:t xml:space="preserve">говорят за активна работа на МИГ с местните общности за популяризиране на стратегиите за ВОМР и за създаването на административен капацитет за подготовка и изпълнение на проекти към стратегиите за ВОМР. </w:t>
      </w:r>
      <w:r w:rsidR="008A3F10" w:rsidRPr="00EA175D">
        <w:t>Това е предпоставка за приобщаване на местните общности към процеса на изпълнение на стратегиите за ВОМР в изпълнение на основния принцип на подхода ВОМР – „отдолу – нагоре“. Все по-голямото включване на местните общности в прилагането на подхода ВОМР води до сплотяването им, до утвърждаване на местната идентичност, до мобилизирането на местния потенциал и задържането на все повече хора по родните им места. Това от своя страна се отразява в изграждането и развитието на капацитет, който да подпомогне местното самоуправление и процесите на децентрализация и на намаляване на обезлюдяването на малките населени места.</w:t>
      </w:r>
      <w:r w:rsidR="00F9722E" w:rsidRPr="00EA175D">
        <w:t xml:space="preserve"> </w:t>
      </w:r>
      <w:r w:rsidR="00C477D8" w:rsidRPr="00EA175D">
        <w:t xml:space="preserve">Прави впечатление и големият брой на предоставените консултации, което показва висок интерес от страна на местните хора към възможностите, които подходът ВОМР предоставя. Това говори за голям потенциал за проектни предложения, който ще се разкрива и в следващия програмен период. </w:t>
      </w:r>
      <w:r w:rsidR="00F9722E" w:rsidRPr="00EA175D">
        <w:t>Разбира се, в тези направления са направени първите стъпки и за получаването на видими резултати е необходимо целенасоченото продължаване на политиката на подхода ВОМР и през следващия програмен период, като би следвало да не се допуска спиране на неговото прилагане на територии, на които вече е бил прилаган.</w:t>
      </w:r>
      <w:r w:rsidR="008A3F10" w:rsidRPr="00EA175D">
        <w:t xml:space="preserve"> </w:t>
      </w:r>
    </w:p>
    <w:p w14:paraId="19E1140A" w14:textId="77777777" w:rsidR="002650A0" w:rsidRPr="00EA175D" w:rsidRDefault="002650A0" w:rsidP="00EA175D">
      <w:pPr>
        <w:spacing w:line="360" w:lineRule="auto"/>
        <w:ind w:firstLine="567"/>
        <w:jc w:val="both"/>
      </w:pPr>
    </w:p>
    <w:p w14:paraId="6ACA86D7" w14:textId="77777777" w:rsidR="00F46353" w:rsidRPr="00EA175D" w:rsidRDefault="00F46353" w:rsidP="00EA175D">
      <w:pPr>
        <w:pStyle w:val="1"/>
        <w:numPr>
          <w:ilvl w:val="1"/>
          <w:numId w:val="1"/>
        </w:numPr>
        <w:tabs>
          <w:tab w:val="left" w:pos="993"/>
        </w:tabs>
        <w:spacing w:line="360" w:lineRule="auto"/>
        <w:ind w:left="0" w:firstLine="567"/>
        <w:jc w:val="both"/>
        <w:rPr>
          <w:rFonts w:ascii="Times New Roman" w:hAnsi="Times New Roman" w:cs="Times New Roman"/>
          <w:color w:val="auto"/>
          <w:sz w:val="24"/>
          <w:szCs w:val="24"/>
        </w:rPr>
      </w:pPr>
      <w:bookmarkStart w:id="32" w:name="_Toc93489785"/>
      <w:r w:rsidRPr="00EA175D">
        <w:rPr>
          <w:rFonts w:ascii="Times New Roman" w:hAnsi="Times New Roman" w:cs="Times New Roman"/>
          <w:color w:val="auto"/>
          <w:sz w:val="24"/>
          <w:szCs w:val="24"/>
        </w:rPr>
        <w:lastRenderedPageBreak/>
        <w:t>Оценка на нивото на постигане на общите индикатори за изпълнение на стратегиите и индикаторите по мерките на стратегиите за ВОМР, промени в инд</w:t>
      </w:r>
      <w:r w:rsidR="00961092" w:rsidRPr="00EA175D">
        <w:rPr>
          <w:rFonts w:ascii="Times New Roman" w:hAnsi="Times New Roman" w:cs="Times New Roman"/>
          <w:color w:val="auto"/>
          <w:sz w:val="24"/>
          <w:szCs w:val="24"/>
        </w:rPr>
        <w:t>икаторите – причини и резултати</w:t>
      </w:r>
      <w:bookmarkEnd w:id="32"/>
    </w:p>
    <w:p w14:paraId="76A3E3AF" w14:textId="77777777" w:rsidR="00FE39EF" w:rsidRPr="00EA175D" w:rsidRDefault="007D7D58" w:rsidP="00EA175D">
      <w:pPr>
        <w:spacing w:line="360" w:lineRule="auto"/>
        <w:ind w:firstLine="567"/>
        <w:jc w:val="both"/>
      </w:pPr>
      <w:r w:rsidRPr="00EA175D">
        <w:t>Съгласно</w:t>
      </w:r>
      <w:r w:rsidR="001F20F6" w:rsidRPr="00EA175D">
        <w:t xml:space="preserve"> чл. 33, пар. 1 </w:t>
      </w:r>
      <w:r w:rsidRPr="00EA175D">
        <w:t>„</w:t>
      </w:r>
      <w:r w:rsidR="001F20F6" w:rsidRPr="00EA175D">
        <w:t>е</w:t>
      </w:r>
      <w:r w:rsidRPr="00EA175D">
        <w:t>“</w:t>
      </w:r>
      <w:r w:rsidR="001F20F6" w:rsidRPr="00EA175D">
        <w:t xml:space="preserve"> от Регламент (ЕС) 1303</w:t>
      </w:r>
      <w:r w:rsidR="001F20F6" w:rsidRPr="00F77584">
        <w:rPr>
          <w:lang w:val="ru-RU"/>
        </w:rPr>
        <w:t>/</w:t>
      </w:r>
      <w:r w:rsidR="001F20F6" w:rsidRPr="00EA175D">
        <w:t xml:space="preserve">2013, </w:t>
      </w:r>
      <w:r w:rsidRPr="00EA175D">
        <w:t>всяка с</w:t>
      </w:r>
      <w:r w:rsidR="001F20F6" w:rsidRPr="00EA175D">
        <w:t>тратегия</w:t>
      </w:r>
      <w:r w:rsidRPr="00EA175D">
        <w:t xml:space="preserve"> за ВОМР</w:t>
      </w:r>
      <w:r w:rsidR="001F20F6" w:rsidRPr="00EA175D">
        <w:t xml:space="preserve"> следва да съдържа „описание на уредбата за управлението и мониторинга на стратегията, която показва капацитета на местната група за действие да изпълни стратегията, и описание на специфичната уредба относно оценката“. </w:t>
      </w:r>
    </w:p>
    <w:p w14:paraId="08629AE7" w14:textId="77777777" w:rsidR="00FE39EF" w:rsidRPr="00EA175D" w:rsidRDefault="00FE39EF" w:rsidP="00EA175D">
      <w:pPr>
        <w:spacing w:line="360" w:lineRule="auto"/>
        <w:ind w:firstLine="567"/>
        <w:jc w:val="both"/>
      </w:pPr>
      <w:r w:rsidRPr="00EA175D">
        <w:t>За адекватното проследяване на напредъка на поставените цели, приоритети и мерки в ПРСР, в т. ч. подмярка 19.2, в Регламент за изпълнение (ЕС) № 808/201468 са определени елементите, които включва системата за мониторинг. Един от тези елементи е набор от показатели за резултати и крайни продукти, включително показатели, които да се използват за количествено определяне на целите на областите с поставен акцент за развитие на селските райони, и набор от предварително определени показатели за прегледа на изпълнението. Наборът от показатели съдържа: показатели за резултат, за изпълнение, целеви показатели. Показателите за изпълнение и показателите за резултат по приоритетните оси и инвестиционни приоритети от програмите, финансиращи подхода ВОМР, са пренесени в указанията на УО на програмите относно изискванията към стратегиите за ВОМР като показатели, чрез които да се измерва приноса на подхода към съответната приоритетна ос/инвестиционен приоритет от програмата. В зависимост от спецификата на оперативната програма, в указанията на УО по първи прием и втори прием на стратегии за ВОМР са дефинирани индикатори за изпълнение и индикатори за резултат по приоритетните оси и инвестиционни приоритети на програмите, от които се предоставя финансиране по подхода ВОМР и които МИГ следва да включат при изготвянето на своите стратегии за ВОМР. Посочените индикатори съответстват на индикаторите за изпълнение и индикаторите за резултат, включени в съответната програма по приоритетната ос и инвестиционен прироритет.</w:t>
      </w:r>
    </w:p>
    <w:p w14:paraId="49DD39CD" w14:textId="77777777" w:rsidR="004051D2" w:rsidRPr="00EA175D" w:rsidRDefault="007D7D58" w:rsidP="00EA175D">
      <w:pPr>
        <w:spacing w:line="360" w:lineRule="auto"/>
        <w:ind w:firstLine="567"/>
        <w:jc w:val="both"/>
      </w:pPr>
      <w:r w:rsidRPr="00EA175D">
        <w:t xml:space="preserve">Съгласно нормативната уредба за прилагане на подхода ВОМР всяка стратегия следва да съдържа индикатори за мониторинг и оценка. </w:t>
      </w:r>
      <w:r w:rsidR="004051D2" w:rsidRPr="00EA175D">
        <w:t xml:space="preserve">За измерване постигането на целите на стратегията за ВОМР и с оглед отчитане на приноса на подхода ВОМР към </w:t>
      </w:r>
      <w:r w:rsidR="004051D2" w:rsidRPr="00EA175D">
        <w:lastRenderedPageBreak/>
        <w:t>постигане на целите на съответната програма, в одобрените от УО на ПРСР Насоки по чл. 24, ал. 1 от ПМС № 161 от 04.07.2016 г. и в т. 9 „Индикатори за мониторинг и оценка“ от образеца за стратегия за ВОМР., са посочени изисквания относно индикаторите, които МИГ следва да включи в своята стратегия. Избраните индикатори е необходимо да позволяват проследяването на напредъка в изпълнението на дейностите и резултатите от прилагане на стратегията за ВОМР. Посочени са за включване в стратегиите следните видове индикатори:</w:t>
      </w:r>
    </w:p>
    <w:p w14:paraId="46FF5BEB" w14:textId="77777777" w:rsidR="004051D2" w:rsidRPr="00EA175D" w:rsidRDefault="004051D2" w:rsidP="00EA175D">
      <w:pPr>
        <w:spacing w:line="360" w:lineRule="auto"/>
        <w:ind w:firstLine="567"/>
        <w:jc w:val="both"/>
      </w:pPr>
      <w:r w:rsidRPr="00EA175D">
        <w:t>-</w:t>
      </w:r>
      <w:r w:rsidRPr="00EA175D">
        <w:tab/>
        <w:t>за цялостното прилагане на стратегията за ВОМР, включително брой създадени работни места (изходни (за изпълнение/продукт) и за резултат) – изходните (за изпълнение/продукт) индикатори за цялостно прилагане са пряко свързани с изпълнението на всички дейности, включени в стратегията, а индикаторите за резултат – с постигането на специфичните цели на стратегията за ВОМР. Във формуляра за кандидатстване по процедура на подмярка 19.2 задължително следва да бъде включен индикатора за резултат „брой работни места“, разкрити в подпомогнати проекти в рамките на стратегия за ВОМР;</w:t>
      </w:r>
    </w:p>
    <w:p w14:paraId="4D76162B" w14:textId="03101E07" w:rsidR="004051D2" w:rsidRPr="00EA175D" w:rsidRDefault="004051D2" w:rsidP="00EA175D">
      <w:pPr>
        <w:spacing w:line="360" w:lineRule="auto"/>
        <w:ind w:firstLine="567"/>
        <w:jc w:val="both"/>
      </w:pPr>
      <w:r w:rsidRPr="00EA175D">
        <w:t>-</w:t>
      </w:r>
      <w:r w:rsidRPr="00EA175D">
        <w:tab/>
        <w:t>по мерки (изходни (за изпълнение/продукт) и за резултат) - чрез изходните индикатори се проследява изпълнението на дейностите по проектите, а чрез индикаторите за резултат се измерва постигането на специфичната цел, която мярката ще допринесе.</w:t>
      </w:r>
    </w:p>
    <w:p w14:paraId="463D5A9E" w14:textId="77777777" w:rsidR="007D7D58" w:rsidRPr="00EA175D" w:rsidRDefault="004051D2" w:rsidP="00EA175D">
      <w:pPr>
        <w:spacing w:line="360" w:lineRule="auto"/>
        <w:ind w:firstLine="567"/>
        <w:jc w:val="both"/>
      </w:pPr>
      <w:r w:rsidRPr="00EA175D">
        <w:t>В допълнение към описаното до тук, и</w:t>
      </w:r>
      <w:r w:rsidR="007D7D58" w:rsidRPr="00EA175D">
        <w:t xml:space="preserve">ндикаторите се разделят </w:t>
      </w:r>
      <w:r w:rsidRPr="00EA175D">
        <w:t xml:space="preserve">и </w:t>
      </w:r>
      <w:r w:rsidR="007D7D58" w:rsidRPr="00EA175D">
        <w:t xml:space="preserve">на </w:t>
      </w:r>
      <w:r w:rsidR="00656191" w:rsidRPr="00EA175D">
        <w:t xml:space="preserve">две основни групи – </w:t>
      </w:r>
      <w:r w:rsidR="007D7D58" w:rsidRPr="00EA175D">
        <w:t>индикатори за цялостното прилагане на стратегията за ВОМР, включително брой създадени работни места и индикатори по всяка една мярка от стратегията – специфични индикатори по мерки. Чрез индикаторите може да се проследи изпълнението на стратегията за ВОМР като цяло, както и по отделни мерки, като тази информация да послужи за вземането на определени решения, свързани с прилагането на стратегията за ВОМР, когато и ако е необходимо.</w:t>
      </w:r>
    </w:p>
    <w:p w14:paraId="3ACA47ED" w14:textId="1C5C9F0E" w:rsidR="00961092" w:rsidRPr="00EA175D" w:rsidRDefault="00057058" w:rsidP="00EA175D">
      <w:pPr>
        <w:spacing w:line="360" w:lineRule="auto"/>
        <w:ind w:firstLine="567"/>
        <w:jc w:val="both"/>
      </w:pPr>
      <w:r w:rsidRPr="00EA175D">
        <w:t>С</w:t>
      </w:r>
      <w:r w:rsidR="007D7D58" w:rsidRPr="00EA175D">
        <w:t>ъгласно</w:t>
      </w:r>
      <w:r w:rsidRPr="00EA175D">
        <w:t xml:space="preserve"> чл. 40, ал. 6 от ПМС № 161 УО на ПРСР 2014 – 2020 г. следва да изготви отчет относно изпълнението на общите индикатори, посочени в стратегиите за ВОМР на всички местни инициативни групи към 31 декември 2018 г. </w:t>
      </w:r>
      <w:r w:rsidR="00065AA5" w:rsidRPr="00EA175D">
        <w:t xml:space="preserve">УО на ПРСР 2014 – 2020 г. е </w:t>
      </w:r>
      <w:r w:rsidR="00065AA5" w:rsidRPr="00EA175D">
        <w:lastRenderedPageBreak/>
        <w:t xml:space="preserve">извършил необходимото за изпълнение на цитираната разпоредба и е предоставил информацията относно изпълнението на индикаторите по всички стратегии за ВОМР на заместник министър – председателя на Република България, отговарящ за европейските фондове. При събирането и обобщаването на информацията за изпълнение на индикаторите по стратегиите за ВОМР УО на ПРСР 2014 – 2020 г. е използвал </w:t>
      </w:r>
      <w:r w:rsidR="002D6AFB" w:rsidRPr="00EA175D">
        <w:t>г</w:t>
      </w:r>
      <w:r w:rsidR="002D6AFB">
        <w:t>ру</w:t>
      </w:r>
      <w:r w:rsidR="002D6AFB" w:rsidRPr="00EA175D">
        <w:t xml:space="preserve">пиране </w:t>
      </w:r>
      <w:r w:rsidR="00065AA5" w:rsidRPr="00EA175D">
        <w:t>на информацията за индикаторите по следните групи:</w:t>
      </w:r>
    </w:p>
    <w:p w14:paraId="7D36117B" w14:textId="284E8B85" w:rsidR="00065AA5" w:rsidRPr="00EA175D" w:rsidRDefault="00065AA5" w:rsidP="00EA175D">
      <w:pPr>
        <w:tabs>
          <w:tab w:val="left" w:pos="851"/>
        </w:tabs>
        <w:spacing w:line="360" w:lineRule="auto"/>
        <w:ind w:firstLine="567"/>
        <w:jc w:val="both"/>
      </w:pPr>
      <w:r w:rsidRPr="00EA175D">
        <w:t>1.</w:t>
      </w:r>
      <w:r w:rsidRPr="00EA175D">
        <w:tab/>
        <w:t>Постигане на индикаторите, свързани с договаряне и изпълнение на проекти, подкрепени бенефициенти, изплатени средства и население, ползващо резултатите от реализираните дейности по проектите по стратегиите за ВОМР</w:t>
      </w:r>
      <w:r w:rsidR="002D6AFB">
        <w:t>;</w:t>
      </w:r>
    </w:p>
    <w:p w14:paraId="1E499957" w14:textId="684B36F8" w:rsidR="00065AA5" w:rsidRPr="00EA175D" w:rsidRDefault="00F833DF" w:rsidP="00EA175D">
      <w:pPr>
        <w:tabs>
          <w:tab w:val="left" w:pos="851"/>
        </w:tabs>
        <w:spacing w:line="360" w:lineRule="auto"/>
        <w:ind w:firstLine="567"/>
        <w:jc w:val="both"/>
      </w:pPr>
      <w:r w:rsidRPr="00EA175D">
        <w:t>2.</w:t>
      </w:r>
      <w:r w:rsidRPr="00EA175D">
        <w:tab/>
        <w:t>Постигане на индикаторите, свързани с брой подадени заявления и одобрени от МИГ заявления</w:t>
      </w:r>
      <w:r w:rsidR="002D6AFB">
        <w:t>;</w:t>
      </w:r>
    </w:p>
    <w:p w14:paraId="088C699D" w14:textId="2888B724" w:rsidR="00F833DF" w:rsidRPr="00EA175D" w:rsidRDefault="00F833DF" w:rsidP="00EA175D">
      <w:pPr>
        <w:tabs>
          <w:tab w:val="left" w:pos="851"/>
        </w:tabs>
        <w:spacing w:line="360" w:lineRule="auto"/>
        <w:ind w:firstLine="567"/>
        <w:jc w:val="both"/>
      </w:pPr>
      <w:r w:rsidRPr="00EA175D">
        <w:t>3.</w:t>
      </w:r>
      <w:r w:rsidRPr="00EA175D">
        <w:tab/>
        <w:t>Постигане на индикаторите, свързани с дейности по обучение, консултация и информиране на потенциалните кандидати към стратегиите за ВОМР, както и други дейности по подмярка 19.4</w:t>
      </w:r>
    </w:p>
    <w:p w14:paraId="0DBC58B2" w14:textId="77777777" w:rsidR="00F833DF" w:rsidRPr="00EA175D" w:rsidRDefault="004B5674" w:rsidP="00EA175D">
      <w:pPr>
        <w:tabs>
          <w:tab w:val="left" w:pos="851"/>
        </w:tabs>
        <w:spacing w:line="360" w:lineRule="auto"/>
        <w:ind w:firstLine="567"/>
        <w:jc w:val="both"/>
      </w:pPr>
      <w:r w:rsidRPr="00EA175D">
        <w:t>4.</w:t>
      </w:r>
      <w:r w:rsidRPr="00EA175D">
        <w:tab/>
        <w:t>Стратегии за ВОМР, по които няма изпълнение на заложените индикатори за цялостно изпълнение.</w:t>
      </w:r>
    </w:p>
    <w:p w14:paraId="0DA36209" w14:textId="77777777" w:rsidR="00C64CD1" w:rsidRPr="00EA175D" w:rsidRDefault="00C64CD1" w:rsidP="00EA175D">
      <w:pPr>
        <w:pStyle w:val="ab"/>
        <w:tabs>
          <w:tab w:val="left" w:pos="851"/>
        </w:tabs>
        <w:spacing w:line="360" w:lineRule="auto"/>
        <w:ind w:left="0" w:firstLine="567"/>
        <w:jc w:val="both"/>
      </w:pPr>
      <w:r w:rsidRPr="00EA175D">
        <w:t>Графика. Разпределение на индикаторите за цялостно прилагане на стратегиите за ВОМР по групи.</w:t>
      </w:r>
    </w:p>
    <w:p w14:paraId="4FF49DAE" w14:textId="77777777" w:rsidR="00C64CD1" w:rsidRPr="00EA175D" w:rsidRDefault="00C64CD1" w:rsidP="00EA175D">
      <w:pPr>
        <w:pStyle w:val="ab"/>
        <w:tabs>
          <w:tab w:val="left" w:pos="851"/>
        </w:tabs>
        <w:spacing w:line="360" w:lineRule="auto"/>
        <w:ind w:left="0" w:firstLine="567"/>
        <w:jc w:val="both"/>
      </w:pPr>
      <w:r w:rsidRPr="00EA175D">
        <w:rPr>
          <w:lang w:val="it-IT" w:eastAsia="it-IT"/>
        </w:rPr>
        <w:lastRenderedPageBreak/>
        <w:drawing>
          <wp:inline distT="0" distB="0" distL="0" distR="0" wp14:anchorId="68D41B63" wp14:editId="2C2B95F5">
            <wp:extent cx="5515583" cy="4883285"/>
            <wp:effectExtent l="0" t="0" r="9525" b="1270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651EEB4" w14:textId="77777777" w:rsidR="00C64CD1" w:rsidRPr="00EA175D" w:rsidRDefault="00C64CD1" w:rsidP="00EA175D">
      <w:pPr>
        <w:pStyle w:val="ab"/>
        <w:tabs>
          <w:tab w:val="left" w:pos="851"/>
        </w:tabs>
        <w:spacing w:line="360" w:lineRule="auto"/>
        <w:ind w:left="0" w:firstLine="567"/>
        <w:jc w:val="both"/>
        <w:rPr>
          <w:b/>
        </w:rPr>
      </w:pPr>
    </w:p>
    <w:p w14:paraId="403F6F12" w14:textId="77777777" w:rsidR="00C64CD1" w:rsidRPr="00EA175D" w:rsidRDefault="00C64CD1" w:rsidP="00EA175D">
      <w:pPr>
        <w:tabs>
          <w:tab w:val="left" w:pos="851"/>
        </w:tabs>
        <w:spacing w:line="360" w:lineRule="auto"/>
        <w:ind w:firstLine="567"/>
        <w:jc w:val="both"/>
      </w:pPr>
      <w:r w:rsidRPr="00EA175D">
        <w:t>Съгласно информацията за индикаторите за цялостно изпълнение на стратегиите за ВОМР като най-важни от МИГ са сметнати индикаторите от първата група, а именно – тези, които са свързани с договаряне и изпълнение на проекти, подкрепени бенефициенти, изплатени средства и население, ползващо резултатите от реализираните дейности по СВОМР. Тези индикатори са 56,62% от всички индикатори. Следват индикаторите, свързани с брой подадени заявления и одобрени от МИГ заявления (10,32%) и индикаторите, свързани с извършени дейности по обучение, консултация и информиране на потенциалните кандидати към СВОМР, както и други дейности по подмярка 19.4 (8,68%).</w:t>
      </w:r>
    </w:p>
    <w:p w14:paraId="5C94CCCB" w14:textId="77777777" w:rsidR="0032092F" w:rsidRPr="00EA175D" w:rsidRDefault="0032092F" w:rsidP="00EA175D">
      <w:pPr>
        <w:tabs>
          <w:tab w:val="left" w:pos="851"/>
        </w:tabs>
        <w:spacing w:line="360" w:lineRule="auto"/>
        <w:ind w:firstLine="567"/>
        <w:jc w:val="both"/>
      </w:pPr>
      <w:r w:rsidRPr="00EA175D">
        <w:lastRenderedPageBreak/>
        <w:t xml:space="preserve">В изпълнение на изискване на одитен екип на Сметна палата УО на ПРСР 2014 – 2020 г. е извършил оценка на постигането на индикаторите за цялостно прилагане на всяка стратегия към 31.12.2019 г. </w:t>
      </w:r>
    </w:p>
    <w:p w14:paraId="53817DFB" w14:textId="77777777" w:rsidR="003B5FC0" w:rsidRPr="00EA175D" w:rsidRDefault="003B5FC0" w:rsidP="00EA175D">
      <w:pPr>
        <w:tabs>
          <w:tab w:val="left" w:pos="851"/>
        </w:tabs>
        <w:spacing w:line="360" w:lineRule="auto"/>
        <w:ind w:firstLine="567"/>
        <w:jc w:val="both"/>
      </w:pPr>
      <w:r w:rsidRPr="00EA175D">
        <w:t>В одобрените 64 стратегии на местните инициативни групи, работещи по подхода Водено от общностите местно развитие за периода 2014 – 2020 г. са включени 1 09</w:t>
      </w:r>
      <w:r w:rsidR="00240F21" w:rsidRPr="00EA175D">
        <w:t>5</w:t>
      </w:r>
      <w:r w:rsidRPr="00EA175D">
        <w:t xml:space="preserve"> броя индикатори за цялостното прилагане на стратегиите. Те ще бъдат предме</w:t>
      </w:r>
      <w:r w:rsidR="0032092F" w:rsidRPr="00EA175D">
        <w:t>т</w:t>
      </w:r>
      <w:r w:rsidRPr="00EA175D">
        <w:t xml:space="preserve"> и на настоящата оценка, тъй като информацията от индикаторите по всяка една от мерките на всяка стратегия за ВОМР се отразява окончателно в индикаторите за цялостното прилагане на стратегиите. </w:t>
      </w:r>
    </w:p>
    <w:p w14:paraId="29CAF827" w14:textId="77777777" w:rsidR="003B5FC0" w:rsidRPr="00EA175D" w:rsidRDefault="003B5FC0" w:rsidP="00EA175D">
      <w:pPr>
        <w:tabs>
          <w:tab w:val="left" w:pos="851"/>
        </w:tabs>
        <w:spacing w:line="360" w:lineRule="auto"/>
        <w:ind w:firstLine="567"/>
        <w:jc w:val="both"/>
      </w:pPr>
      <w:r w:rsidRPr="00EA175D">
        <w:t>Екипът, извършващ настоящата оценка се запозна с детайли с всички видове индикатори, съдържащи се в стратегиите за ВОМР. Въз основа на проучената информация считаме, че групирането на индикаторите, извършено от УО на ПРСР 2014 – 2020 г. при тяхното отчитане към 31.12.2018 г. е удачен метод за предоставяне на по-обобщена информация за състоянието и изпълнениено на индикаторите за цялостното прилагане на стратегиите, тъй като по своята същност те са специфични за всяка една стратегия и извличането на обобщена информация би било трудно.</w:t>
      </w:r>
    </w:p>
    <w:p w14:paraId="6A9EAE35" w14:textId="77777777" w:rsidR="003B5FC0" w:rsidRPr="00EA175D" w:rsidRDefault="003B5FC0" w:rsidP="00EA175D">
      <w:pPr>
        <w:tabs>
          <w:tab w:val="left" w:pos="851"/>
        </w:tabs>
        <w:spacing w:line="360" w:lineRule="auto"/>
        <w:ind w:firstLine="567"/>
        <w:jc w:val="both"/>
      </w:pPr>
      <w:r w:rsidRPr="00EA175D">
        <w:t xml:space="preserve">В тази връзка, екипът, извършващ настоящата оценка извърши оценка на степента на постигане на индикаторите за цялостното прилагане на стратегиите, използвайки извършеното от УО на ПРСР 2014 – 2020 г. групиране, цитирано по-горе. От една страна това ще позволи извеждането на обобщена и готова за ползване информация, от друга страна, което не е по-малко важно, ще се позволи проследяване на развитието на изпълнението на индикаторите в сравнение с данните, получени от УО на ПРСР 2014 – 2020 г. към 31.12.2018 г. По този начин ще може да се направи сравнения и да се изведе зависимост относно процеса по изпълнение на индикаторите за цялостното прилагане на стратегиите за ВОМР. </w:t>
      </w:r>
    </w:p>
    <w:p w14:paraId="648E1060" w14:textId="77777777" w:rsidR="00C64CD1" w:rsidRPr="00EA175D" w:rsidRDefault="0057773A" w:rsidP="00EA175D">
      <w:pPr>
        <w:tabs>
          <w:tab w:val="left" w:pos="851"/>
        </w:tabs>
        <w:spacing w:line="360" w:lineRule="auto"/>
        <w:ind w:firstLine="567"/>
        <w:jc w:val="both"/>
      </w:pPr>
      <w:r w:rsidRPr="00F77584">
        <w:rPr>
          <w:lang w:val="ru-RU"/>
        </w:rPr>
        <w:t>Събраната и обработена информация за степента на постигане на индикаторите показва, че при 828 (75,62% от всички индикатори</w:t>
      </w:r>
      <w:r w:rsidR="00240F21" w:rsidRPr="00EA175D">
        <w:t xml:space="preserve"> за цялостно изпълнение на СВОМР</w:t>
      </w:r>
      <w:r w:rsidRPr="00F77584">
        <w:rPr>
          <w:lang w:val="ru-RU"/>
        </w:rPr>
        <w:t xml:space="preserve">) от тях има частично или цялостно изпълнение, дори и преизпълнение на заложените стойности. </w:t>
      </w:r>
    </w:p>
    <w:p w14:paraId="39172D02" w14:textId="77777777" w:rsidR="00C64CD1" w:rsidRPr="00EA175D" w:rsidRDefault="00C64CD1" w:rsidP="00EA175D">
      <w:pPr>
        <w:pStyle w:val="ab"/>
        <w:tabs>
          <w:tab w:val="left" w:pos="851"/>
        </w:tabs>
        <w:spacing w:line="360" w:lineRule="auto"/>
        <w:ind w:left="0" w:firstLine="567"/>
        <w:jc w:val="both"/>
      </w:pPr>
      <w:r w:rsidRPr="00EA175D">
        <w:lastRenderedPageBreak/>
        <w:t xml:space="preserve">От представената информация е видно, че по ¾ от индикаторите за цялостно изпълнение на стратегиите за ВОМР има напредък в изпълнението, което говори за активна работа от страна на всички включени в изпълнението на подхода ВОМР. </w:t>
      </w:r>
    </w:p>
    <w:p w14:paraId="4926826A" w14:textId="77777777" w:rsidR="00C64CD1" w:rsidRPr="00EA175D" w:rsidRDefault="00C64CD1" w:rsidP="00EA175D">
      <w:pPr>
        <w:pStyle w:val="ab"/>
        <w:tabs>
          <w:tab w:val="left" w:pos="851"/>
        </w:tabs>
        <w:spacing w:line="360" w:lineRule="auto"/>
        <w:ind w:left="0" w:firstLine="567"/>
        <w:jc w:val="both"/>
      </w:pPr>
      <w:r w:rsidRPr="00EA175D">
        <w:t>Графика. Напредък в изпълнението на индикаторите за цялостно прилагане на СВОМР.</w:t>
      </w:r>
    </w:p>
    <w:p w14:paraId="6565EA6E" w14:textId="77777777" w:rsidR="00C64CD1" w:rsidRPr="00EA175D" w:rsidRDefault="00C64CD1" w:rsidP="00EA175D">
      <w:pPr>
        <w:pStyle w:val="ab"/>
        <w:tabs>
          <w:tab w:val="left" w:pos="851"/>
        </w:tabs>
        <w:spacing w:line="360" w:lineRule="auto"/>
        <w:ind w:left="0" w:firstLine="567"/>
        <w:jc w:val="both"/>
      </w:pPr>
      <w:r w:rsidRPr="00EA175D">
        <w:rPr>
          <w:lang w:val="it-IT" w:eastAsia="it-IT"/>
        </w:rPr>
        <w:drawing>
          <wp:inline distT="0" distB="0" distL="0" distR="0" wp14:anchorId="1F24AE8C" wp14:editId="5D4902D4">
            <wp:extent cx="4572000" cy="2743200"/>
            <wp:effectExtent l="0" t="0" r="19050" b="1905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11DF7A92" w14:textId="77777777" w:rsidR="00C64CD1" w:rsidRPr="00EA175D" w:rsidRDefault="00C64CD1" w:rsidP="00EA175D">
      <w:pPr>
        <w:tabs>
          <w:tab w:val="left" w:pos="851"/>
        </w:tabs>
        <w:spacing w:line="360" w:lineRule="auto"/>
        <w:ind w:firstLine="567"/>
        <w:jc w:val="both"/>
      </w:pPr>
    </w:p>
    <w:p w14:paraId="456DE923" w14:textId="77777777" w:rsidR="0057773A" w:rsidRPr="00F77584" w:rsidRDefault="00762A9B" w:rsidP="00EA175D">
      <w:pPr>
        <w:tabs>
          <w:tab w:val="left" w:pos="851"/>
        </w:tabs>
        <w:spacing w:line="360" w:lineRule="auto"/>
        <w:ind w:firstLine="567"/>
        <w:jc w:val="both"/>
        <w:rPr>
          <w:lang w:val="ru-RU"/>
        </w:rPr>
      </w:pPr>
      <w:r w:rsidRPr="00EA175D">
        <w:t>Както беше споменато по-горе, з</w:t>
      </w:r>
      <w:r w:rsidR="0057773A" w:rsidRPr="00F77584">
        <w:rPr>
          <w:lang w:val="ru-RU"/>
        </w:rPr>
        <w:t>а по-голяма яснота и систематизиране при отчитането на изпълнение на индикаторите те са групирани в следните основни групи:</w:t>
      </w:r>
    </w:p>
    <w:p w14:paraId="2495C31A" w14:textId="77777777" w:rsidR="0057773A" w:rsidRPr="00F77584" w:rsidRDefault="0057773A" w:rsidP="00EA175D">
      <w:pPr>
        <w:tabs>
          <w:tab w:val="left" w:pos="851"/>
        </w:tabs>
        <w:spacing w:line="360" w:lineRule="auto"/>
        <w:ind w:firstLine="567"/>
        <w:jc w:val="both"/>
        <w:rPr>
          <w:lang w:val="ru-RU"/>
        </w:rPr>
      </w:pPr>
      <w:r w:rsidRPr="00F77584">
        <w:rPr>
          <w:lang w:val="ru-RU"/>
        </w:rPr>
        <w:t>1.</w:t>
      </w:r>
      <w:r w:rsidRPr="00F77584">
        <w:rPr>
          <w:lang w:val="ru-RU"/>
        </w:rPr>
        <w:tab/>
        <w:t>Постигане на индикаторите, свързани с договаряне и изпълнение на проекти, подкрепени бенефициенти, изплатени средства и население, ползващо резултатите от реализираните дейности по проектите по стратегиите за ВОМР.</w:t>
      </w:r>
    </w:p>
    <w:p w14:paraId="206A78B1" w14:textId="77777777" w:rsidR="0057773A" w:rsidRPr="00F77584" w:rsidRDefault="0057773A" w:rsidP="00EA175D">
      <w:pPr>
        <w:tabs>
          <w:tab w:val="left" w:pos="851"/>
        </w:tabs>
        <w:spacing w:line="360" w:lineRule="auto"/>
        <w:ind w:firstLine="567"/>
        <w:jc w:val="both"/>
        <w:rPr>
          <w:lang w:val="ru-RU"/>
        </w:rPr>
      </w:pPr>
      <w:r w:rsidRPr="00F77584">
        <w:rPr>
          <w:lang w:val="ru-RU"/>
        </w:rPr>
        <w:t xml:space="preserve">В тази група индикатори МИГ отчитат общо 620 индикатори, което представлява 56,62% от всички индикатори за </w:t>
      </w:r>
      <w:r w:rsidR="00240F21" w:rsidRPr="00EA175D">
        <w:t xml:space="preserve">цялостно </w:t>
      </w:r>
      <w:r w:rsidRPr="00F77584">
        <w:rPr>
          <w:lang w:val="ru-RU"/>
        </w:rPr>
        <w:t xml:space="preserve">изпълнение на стратегиите на МИГ, които имат частично и някои цялостно изпълнение от страна на МИГ към 30.09.2021 г. Всички 64 МИГ са заложили индикатори от тази група и са отчели изпълнение на тези индикатори, тъй като се счита, че това е най-важната група индикатори, която дава в края на периода на изпълнение на стратегията най-съществена информация относно това дали успешно е изпълнена стратегията за ВОМР на </w:t>
      </w:r>
      <w:r w:rsidR="006833F5" w:rsidRPr="00EA175D">
        <w:t>съответната</w:t>
      </w:r>
      <w:r w:rsidRPr="00F77584">
        <w:rPr>
          <w:lang w:val="ru-RU"/>
        </w:rPr>
        <w:t xml:space="preserve"> МИГ. Всяка МИГ е </w:t>
      </w:r>
      <w:r w:rsidRPr="00F77584">
        <w:rPr>
          <w:lang w:val="ru-RU"/>
        </w:rPr>
        <w:lastRenderedPageBreak/>
        <w:t>отчела средно по 10 индикатора с изпълнение в тази група, което доказва, че към 30.09.2021 г. МИГ изпълняват успешно своите стратегии, като всички институции</w:t>
      </w:r>
      <w:r w:rsidR="006833F5" w:rsidRPr="00EA175D">
        <w:t>,</w:t>
      </w:r>
      <w:r w:rsidRPr="00F77584">
        <w:rPr>
          <w:lang w:val="ru-RU"/>
        </w:rPr>
        <w:t xml:space="preserve"> включени в подхода работят </w:t>
      </w:r>
      <w:r w:rsidR="006833F5" w:rsidRPr="00EA175D">
        <w:t xml:space="preserve">на високо ниво </w:t>
      </w:r>
      <w:r w:rsidRPr="00F77584">
        <w:rPr>
          <w:lang w:val="ru-RU"/>
        </w:rPr>
        <w:t xml:space="preserve">и успешно се договарят и изпълняват проекти по стратегиите за ВОМР. </w:t>
      </w:r>
    </w:p>
    <w:p w14:paraId="2FA4D347" w14:textId="77777777" w:rsidR="0057773A" w:rsidRPr="00F77584" w:rsidRDefault="0057773A" w:rsidP="00EA175D">
      <w:pPr>
        <w:tabs>
          <w:tab w:val="left" w:pos="851"/>
        </w:tabs>
        <w:spacing w:line="360" w:lineRule="auto"/>
        <w:ind w:firstLine="567"/>
        <w:jc w:val="both"/>
        <w:rPr>
          <w:lang w:val="ru-RU"/>
        </w:rPr>
      </w:pPr>
      <w:r w:rsidRPr="00F77584">
        <w:rPr>
          <w:lang w:val="ru-RU"/>
        </w:rPr>
        <w:t>При индикаторите, свързани с договорени и изпълнени проекти, подкрепени бенефициенти, реализирани дейности, както и с изплатена безвъзмездна финансова помощ при еднофондовите стратегии се забелязва по-слабо изпълнение към 30.09.2021 г., тъй като има значително забавяне от страна на Държавен фонд „Земеделие“ при договарянето на проектите по стратегиите</w:t>
      </w:r>
      <w:r w:rsidR="006833F5" w:rsidRPr="00F77584">
        <w:rPr>
          <w:lang w:val="ru-RU"/>
        </w:rPr>
        <w:t xml:space="preserve"> на МИГ, което води и до по-мал</w:t>
      </w:r>
      <w:r w:rsidR="006833F5" w:rsidRPr="00EA175D">
        <w:t>ък размер на</w:t>
      </w:r>
      <w:r w:rsidRPr="00F77584">
        <w:rPr>
          <w:lang w:val="ru-RU"/>
        </w:rPr>
        <w:t xml:space="preserve"> изплатена</w:t>
      </w:r>
      <w:r w:rsidR="006833F5" w:rsidRPr="00EA175D">
        <w:t>та</w:t>
      </w:r>
      <w:r w:rsidRPr="00F77584">
        <w:rPr>
          <w:lang w:val="ru-RU"/>
        </w:rPr>
        <w:t xml:space="preserve"> безвъзмездна финансова помощ. </w:t>
      </w:r>
    </w:p>
    <w:p w14:paraId="614A0E60" w14:textId="1FE69AE6" w:rsidR="004375DE" w:rsidRPr="00EA175D" w:rsidRDefault="0057773A" w:rsidP="00EA175D">
      <w:pPr>
        <w:tabs>
          <w:tab w:val="left" w:pos="851"/>
        </w:tabs>
        <w:spacing w:line="360" w:lineRule="auto"/>
        <w:ind w:firstLine="567"/>
        <w:jc w:val="both"/>
      </w:pPr>
      <w:r w:rsidRPr="00F77584">
        <w:rPr>
          <w:lang w:val="ru-RU"/>
        </w:rPr>
        <w:t>При многофондовите стратегии се забелязва значително по-добро изпълнение на тази група индикатори дължащо се на сключени договори и изпълнени проекти с финансиране по О</w:t>
      </w:r>
      <w:r w:rsidR="00000878" w:rsidRPr="00EA175D">
        <w:t>ПИК 2014 – 2020 г.</w:t>
      </w:r>
      <w:r w:rsidRPr="00F77584">
        <w:rPr>
          <w:lang w:val="ru-RU"/>
        </w:rPr>
        <w:t xml:space="preserve"> и О</w:t>
      </w:r>
      <w:r w:rsidR="00000878" w:rsidRPr="00EA175D">
        <w:t>ПРЧР 2014 – 2020 г.</w:t>
      </w:r>
      <w:r w:rsidRPr="00F77584">
        <w:rPr>
          <w:lang w:val="ru-RU"/>
        </w:rPr>
        <w:t xml:space="preserve">, като то е по-слабо за </w:t>
      </w:r>
      <w:r w:rsidR="00027D40" w:rsidRPr="00EA175D">
        <w:t>ОПНОИ</w:t>
      </w:r>
      <w:r w:rsidR="00027D40">
        <w:t>Р</w:t>
      </w:r>
      <w:r w:rsidR="00027D40" w:rsidRPr="00EA175D">
        <w:t xml:space="preserve"> </w:t>
      </w:r>
      <w:r w:rsidR="00000878" w:rsidRPr="00EA175D">
        <w:t>2014 – 2020 г.</w:t>
      </w:r>
      <w:r w:rsidR="00000878" w:rsidRPr="00F77584">
        <w:rPr>
          <w:lang w:val="ru-RU"/>
        </w:rPr>
        <w:t xml:space="preserve"> </w:t>
      </w:r>
      <w:r w:rsidRPr="00F77584">
        <w:rPr>
          <w:lang w:val="ru-RU"/>
        </w:rPr>
        <w:t>и О</w:t>
      </w:r>
      <w:r w:rsidR="00000878" w:rsidRPr="00EA175D">
        <w:t>ПОС 2014 – 2020 г.</w:t>
      </w:r>
      <w:r w:rsidR="0089793A" w:rsidRPr="00F77584">
        <w:rPr>
          <w:lang w:val="ru-RU"/>
        </w:rPr>
        <w:t xml:space="preserve"> </w:t>
      </w:r>
    </w:p>
    <w:p w14:paraId="711672EE" w14:textId="77777777" w:rsidR="0057773A" w:rsidRPr="00EA175D" w:rsidRDefault="0089793A" w:rsidP="00EA175D">
      <w:pPr>
        <w:tabs>
          <w:tab w:val="left" w:pos="851"/>
        </w:tabs>
        <w:spacing w:line="360" w:lineRule="auto"/>
        <w:ind w:firstLine="567"/>
        <w:jc w:val="both"/>
      </w:pPr>
      <w:r w:rsidRPr="00EA175D">
        <w:t xml:space="preserve">Средното изпълнение на индикаторите от тази група е 75%, което е една много висока степен. </w:t>
      </w:r>
      <w:r w:rsidR="006552BD" w:rsidRPr="00EA175D">
        <w:t xml:space="preserve">С най-висока степен на изпълнение са МИГ „Павликени, Полски тръмбеш“ – 334% (високите степени на изпълнение се дължат на преизпълнението на индикатори, свързани с </w:t>
      </w:r>
      <w:r w:rsidR="004375DE" w:rsidRPr="00EA175D">
        <w:t>брой на успешно приключилите проекти и брой на одобрените заявления по ПРСР</w:t>
      </w:r>
      <w:r w:rsidR="006552BD" w:rsidRPr="00EA175D">
        <w:t>), следвани от МИГ  „Поморие“ с 229% (високите степени на изпълнение се дължат на преизпълнението на индикатори, свързани с лица от уязвими групи успешно завършили проведените обучения, лица от уязвими групи получаващи социални/здравни услуги и създадени работни места) и МИГ „Тунджа“ с 226%</w:t>
      </w:r>
      <w:r w:rsidR="004375DE" w:rsidRPr="00EA175D">
        <w:t xml:space="preserve"> (високите степени на изпълнение се дължат на преизпълнението на индикатори, свързани с участници с увреждания над 18 години, получаващи услуги)</w:t>
      </w:r>
      <w:r w:rsidR="006552BD" w:rsidRPr="00EA175D">
        <w:t xml:space="preserve">. </w:t>
      </w:r>
    </w:p>
    <w:p w14:paraId="0544108C" w14:textId="23C895B3" w:rsidR="0057773A" w:rsidRPr="00F77584" w:rsidRDefault="00000878" w:rsidP="00EA175D">
      <w:pPr>
        <w:tabs>
          <w:tab w:val="left" w:pos="851"/>
        </w:tabs>
        <w:spacing w:line="360" w:lineRule="auto"/>
        <w:ind w:firstLine="567"/>
        <w:jc w:val="both"/>
        <w:rPr>
          <w:lang w:val="ru-RU"/>
        </w:rPr>
      </w:pPr>
      <w:r w:rsidRPr="00EA175D">
        <w:t>Подробна и</w:t>
      </w:r>
      <w:r w:rsidR="0057773A" w:rsidRPr="00F77584">
        <w:rPr>
          <w:lang w:val="ru-RU"/>
        </w:rPr>
        <w:t xml:space="preserve">нформация относно степента на постигане на индикаторите е представена в Таблица в </w:t>
      </w:r>
      <w:r w:rsidR="0057773A" w:rsidRPr="00F77584">
        <w:rPr>
          <w:b/>
          <w:bCs/>
          <w:lang w:val="ru-RU"/>
        </w:rPr>
        <w:t>Приложение</w:t>
      </w:r>
      <w:r w:rsidR="0057773A" w:rsidRPr="00EA175D">
        <w:rPr>
          <w:b/>
          <w:bCs/>
        </w:rPr>
        <w:t xml:space="preserve"> </w:t>
      </w:r>
      <w:r w:rsidR="0057773A" w:rsidRPr="00F77584">
        <w:rPr>
          <w:b/>
          <w:bCs/>
          <w:lang w:val="ru-RU"/>
        </w:rPr>
        <w:t>№</w:t>
      </w:r>
      <w:r w:rsidR="00546A88" w:rsidRPr="00EA175D">
        <w:rPr>
          <w:b/>
          <w:bCs/>
        </w:rPr>
        <w:t xml:space="preserve"> </w:t>
      </w:r>
      <w:r w:rsidR="00316DDA" w:rsidRPr="00EA175D">
        <w:rPr>
          <w:b/>
          <w:bCs/>
        </w:rPr>
        <w:t>3</w:t>
      </w:r>
      <w:r w:rsidR="0057773A" w:rsidRPr="00F77584">
        <w:rPr>
          <w:lang w:val="ru-RU"/>
        </w:rPr>
        <w:t xml:space="preserve">   </w:t>
      </w:r>
    </w:p>
    <w:p w14:paraId="1F3B768B" w14:textId="77777777" w:rsidR="0057773A" w:rsidRPr="00F77584" w:rsidRDefault="0057773A" w:rsidP="00EA175D">
      <w:pPr>
        <w:tabs>
          <w:tab w:val="left" w:pos="851"/>
        </w:tabs>
        <w:spacing w:line="360" w:lineRule="auto"/>
        <w:ind w:firstLine="567"/>
        <w:jc w:val="both"/>
        <w:rPr>
          <w:lang w:val="ru-RU"/>
        </w:rPr>
      </w:pPr>
      <w:r w:rsidRPr="00F77584">
        <w:rPr>
          <w:lang w:val="ru-RU"/>
        </w:rPr>
        <w:t>2.</w:t>
      </w:r>
      <w:r w:rsidRPr="00F77584">
        <w:rPr>
          <w:lang w:val="ru-RU"/>
        </w:rPr>
        <w:tab/>
        <w:t>Постигане на индикаторите, свързани с брой подадени заявления и одобрени от МИГ заявления.</w:t>
      </w:r>
    </w:p>
    <w:p w14:paraId="473F885D" w14:textId="77777777" w:rsidR="0057773A" w:rsidRPr="00F77584" w:rsidRDefault="0057773A" w:rsidP="00EA175D">
      <w:pPr>
        <w:tabs>
          <w:tab w:val="left" w:pos="851"/>
        </w:tabs>
        <w:spacing w:line="360" w:lineRule="auto"/>
        <w:ind w:firstLine="567"/>
        <w:jc w:val="both"/>
        <w:rPr>
          <w:lang w:val="ru-RU"/>
        </w:rPr>
      </w:pPr>
      <w:r w:rsidRPr="00F77584">
        <w:rPr>
          <w:lang w:val="ru-RU"/>
        </w:rPr>
        <w:lastRenderedPageBreak/>
        <w:t xml:space="preserve">В тази група индикатори МИГ отчитат 113 индикатора, което представлява 10,32% от всички индикатори за </w:t>
      </w:r>
      <w:r w:rsidR="00240F21" w:rsidRPr="00EA175D">
        <w:t xml:space="preserve">цялостно </w:t>
      </w:r>
      <w:r w:rsidRPr="00F77584">
        <w:rPr>
          <w:lang w:val="ru-RU"/>
        </w:rPr>
        <w:t xml:space="preserve">изпълнение на стратегиите на МИГ, които имат частично или цялостно изпълнение от страна на МИГ към 30.09.2021 г. </w:t>
      </w:r>
    </w:p>
    <w:p w14:paraId="6B5F37C4" w14:textId="77777777" w:rsidR="0057773A" w:rsidRPr="00EA175D" w:rsidRDefault="0057773A" w:rsidP="00EA175D">
      <w:pPr>
        <w:tabs>
          <w:tab w:val="left" w:pos="851"/>
        </w:tabs>
        <w:spacing w:line="360" w:lineRule="auto"/>
        <w:ind w:firstLine="567"/>
        <w:jc w:val="both"/>
      </w:pPr>
      <w:r w:rsidRPr="00F77584">
        <w:rPr>
          <w:lang w:val="ru-RU"/>
        </w:rPr>
        <w:t xml:space="preserve">32 МИГ или 50% от МИГ не са включили тази група индикатори в своите стратегии. Всички останали МИГ отчитат изпълнение по тази група индикатори като няма МИГ, който няма отчетено изпълнение по тази група индикатори. Значително по-малкия брой индикатори в тази група показва, че МИГ не са счели, че е необходимо включването на такива индикатори в стратегиите им, тъй като те отчитат междинен етап от работата на МИГ, без да дават информация за цялостното изпълнение на стратегията за ВОМР. </w:t>
      </w:r>
    </w:p>
    <w:p w14:paraId="3EEB4E31" w14:textId="77777777" w:rsidR="004375DE" w:rsidRPr="00EA175D" w:rsidRDefault="004375DE" w:rsidP="00EA175D">
      <w:pPr>
        <w:tabs>
          <w:tab w:val="left" w:pos="851"/>
        </w:tabs>
        <w:spacing w:line="360" w:lineRule="auto"/>
        <w:ind w:firstLine="567"/>
        <w:jc w:val="both"/>
      </w:pPr>
      <w:r w:rsidRPr="00EA175D">
        <w:t xml:space="preserve">Средното изпълнение на индикаторите от тази група е </w:t>
      </w:r>
      <w:r w:rsidR="007715E0" w:rsidRPr="00EA175D">
        <w:t>100</w:t>
      </w:r>
      <w:r w:rsidRPr="00EA175D">
        <w:t>%, което е изключително висока степен</w:t>
      </w:r>
      <w:r w:rsidR="007715E0" w:rsidRPr="00EA175D">
        <w:t xml:space="preserve"> и означава пълно изпълнение</w:t>
      </w:r>
      <w:r w:rsidRPr="00EA175D">
        <w:t xml:space="preserve">. С най-висока степен на изпълнение са МИГ „Белене - Никопол“ – 337% (високите степени на изпълнение се дължат на преизпълнението на индикатор, свързан с </w:t>
      </w:r>
      <w:r w:rsidR="007715E0" w:rsidRPr="00EA175D">
        <w:t>организирани обучения</w:t>
      </w:r>
      <w:r w:rsidRPr="00EA175D">
        <w:t>)</w:t>
      </w:r>
      <w:r w:rsidR="007715E0" w:rsidRPr="00EA175D">
        <w:t xml:space="preserve"> и МИГ „Павликени, Полски тръмбеш“ – 262% (високите степени на изпълнение се дължат </w:t>
      </w:r>
      <w:r w:rsidR="007E2D94" w:rsidRPr="00EA175D">
        <w:t>на преизпълнението на индикатор</w:t>
      </w:r>
      <w:r w:rsidR="007715E0" w:rsidRPr="00EA175D">
        <w:t xml:space="preserve">, свързан с </w:t>
      </w:r>
      <w:r w:rsidR="007E2D94" w:rsidRPr="00EA175D">
        <w:t>дял на постъпилите заявления в полза на уязвими групи</w:t>
      </w:r>
      <w:r w:rsidR="007715E0" w:rsidRPr="00EA175D">
        <w:t>).</w:t>
      </w:r>
    </w:p>
    <w:p w14:paraId="64238E88" w14:textId="34F9CDB2" w:rsidR="0057773A" w:rsidRPr="00EA175D" w:rsidRDefault="007724AB" w:rsidP="00EA175D">
      <w:pPr>
        <w:tabs>
          <w:tab w:val="left" w:pos="851"/>
        </w:tabs>
        <w:spacing w:line="360" w:lineRule="auto"/>
        <w:ind w:firstLine="567"/>
        <w:jc w:val="both"/>
      </w:pPr>
      <w:r w:rsidRPr="00F77584">
        <w:rPr>
          <w:lang w:val="ru-RU"/>
        </w:rPr>
        <w:t xml:space="preserve">Подробна информация относно степента на постигане на индикаторите е представена в Таблица в </w:t>
      </w:r>
      <w:r w:rsidRPr="00F77584">
        <w:rPr>
          <w:b/>
          <w:bCs/>
          <w:lang w:val="ru-RU"/>
        </w:rPr>
        <w:t xml:space="preserve">Приложение № </w:t>
      </w:r>
      <w:r w:rsidR="00316DDA" w:rsidRPr="00EA175D">
        <w:rPr>
          <w:b/>
          <w:bCs/>
        </w:rPr>
        <w:t>4</w:t>
      </w:r>
      <w:r w:rsidR="00546A88" w:rsidRPr="00EA175D">
        <w:t>.</w:t>
      </w:r>
      <w:r w:rsidR="0057773A" w:rsidRPr="00EA175D">
        <w:t xml:space="preserve">   </w:t>
      </w:r>
    </w:p>
    <w:p w14:paraId="431FE45A" w14:textId="77777777" w:rsidR="008C4A10" w:rsidRPr="00EA175D" w:rsidRDefault="00240F21" w:rsidP="00EA175D">
      <w:pPr>
        <w:tabs>
          <w:tab w:val="left" w:pos="851"/>
        </w:tabs>
        <w:spacing w:line="360" w:lineRule="auto"/>
        <w:ind w:firstLine="567"/>
        <w:jc w:val="both"/>
      </w:pPr>
      <w:r w:rsidRPr="00EA175D">
        <w:t xml:space="preserve">3. Постигане на индикаторите, свързани с дейности по обучение, консултация и информиране на потенциалните кандидати към стратегиите за ВОМР, както и други дейности по подмярка 19.4. </w:t>
      </w:r>
    </w:p>
    <w:p w14:paraId="39882E95" w14:textId="77777777" w:rsidR="00240F21" w:rsidRPr="00EA175D" w:rsidRDefault="00240F21" w:rsidP="00EA175D">
      <w:pPr>
        <w:tabs>
          <w:tab w:val="left" w:pos="851"/>
        </w:tabs>
        <w:spacing w:line="360" w:lineRule="auto"/>
        <w:ind w:firstLine="567"/>
        <w:jc w:val="both"/>
      </w:pPr>
      <w:r w:rsidRPr="00EA175D">
        <w:t>Индикаторите от тази група са</w:t>
      </w:r>
      <w:r w:rsidR="00C10ADB" w:rsidRPr="00EA175D">
        <w:t xml:space="preserve"> 95 (</w:t>
      </w:r>
      <w:r w:rsidR="00B72160" w:rsidRPr="00F77584">
        <w:rPr>
          <w:lang w:val="ru-RU"/>
        </w:rPr>
        <w:t>8</w:t>
      </w:r>
      <w:r w:rsidR="00B72160" w:rsidRPr="00EA175D">
        <w:t>,</w:t>
      </w:r>
      <w:r w:rsidR="00B72160" w:rsidRPr="00F77584">
        <w:rPr>
          <w:lang w:val="ru-RU"/>
        </w:rPr>
        <w:t xml:space="preserve">68% </w:t>
      </w:r>
      <w:r w:rsidR="00B72160" w:rsidRPr="00EA175D">
        <w:t>от общия брой индикатори за цялостно изпълнение на стратегиите</w:t>
      </w:r>
      <w:r w:rsidR="00C10ADB" w:rsidRPr="00EA175D">
        <w:t>) и са</w:t>
      </w:r>
      <w:r w:rsidRPr="00EA175D">
        <w:t xml:space="preserve"> включени в 39 стратегии за ВОМР  (61% от всички стратегии). Въпреки, че не са включени във всички стратегии на МИГ, в тази група индикатори се наблюдава най-голяма степен на изпълнение от всички  индикатори за цялостно изпълнение на стратегиите за ВОМР. Примерните индикатори, които са включени са: „Брой консултации, организирани или осъществени от МИГ“, „Брой дейности за популяризиране на Стратегията“, „Брой дейности за популяризиране на </w:t>
      </w:r>
      <w:r w:rsidRPr="00EA175D">
        <w:lastRenderedPageBreak/>
        <w:t>Стратегията“, „Проведени обучения, семинари, информационни срещи“, „Брой лица участвали в обучения, семинари и информационни срещи“, „Брой лица от уязвимите групи /вкл. и роми/  участвали в обучения, семинари и информационни срещи“, „Брой на участниците в информационни дейности“, „Участие на жени, младежи, хора от  уязвими групи в инициативи за опазване и популяризиране на природното и културно-историческо наследства на територията“, „Участници в дейности/ инициативи/ мероприятия организирани от МИГ“. В 25 стратегии се наблюдава неизпълнение на посочените индикаторите.</w:t>
      </w:r>
    </w:p>
    <w:p w14:paraId="386FD475" w14:textId="77777777" w:rsidR="00D91D69" w:rsidRPr="00EA175D" w:rsidRDefault="00240F21" w:rsidP="00EA175D">
      <w:pPr>
        <w:tabs>
          <w:tab w:val="left" w:pos="851"/>
        </w:tabs>
        <w:spacing w:line="360" w:lineRule="auto"/>
        <w:ind w:firstLine="567"/>
        <w:jc w:val="both"/>
      </w:pPr>
      <w:r w:rsidRPr="00EA175D">
        <w:t xml:space="preserve">Индикаторите от тази група показват доколко МИГ са успяли да повишат информираността на местното население, заинтересоваността им от възможностите, предлагани от подхода ВОМР, обменения опит, придобитите умения и степента на постигнатата обществена активност. </w:t>
      </w:r>
    </w:p>
    <w:p w14:paraId="35366D89" w14:textId="77777777" w:rsidR="00D91D69" w:rsidRPr="00EA175D" w:rsidRDefault="00D91D69" w:rsidP="00EA175D">
      <w:pPr>
        <w:tabs>
          <w:tab w:val="left" w:pos="851"/>
        </w:tabs>
        <w:spacing w:line="360" w:lineRule="auto"/>
        <w:ind w:firstLine="567"/>
        <w:jc w:val="both"/>
      </w:pPr>
      <w:r w:rsidRPr="00EA175D">
        <w:t>Средното изпълнение на индикаторите от тази група е 207%, което е изключително постижение, надхвърлящо планираното изпълнение. С най-висока степен на изпълнение са МИГ „Белене - Никопол“ – 943% (високите степени на изпълнение се дължат на преизпълнението на индикатори, свързани с брой жени, завършили успешно обучение и брой участници, завършили успешно обучение) и МИГ „Раковски“ – 550% (високите степени на изпълнение се дължат на преизпълнението на индикатор, свързан с брой лица, преминали през обучение във връзка с проекти по линия на ЕСФ).</w:t>
      </w:r>
    </w:p>
    <w:p w14:paraId="0415033B" w14:textId="2B58CC73" w:rsidR="00240F21" w:rsidRPr="00EA175D" w:rsidRDefault="004103A0" w:rsidP="00EA175D">
      <w:pPr>
        <w:tabs>
          <w:tab w:val="left" w:pos="851"/>
        </w:tabs>
        <w:spacing w:line="360" w:lineRule="auto"/>
        <w:ind w:firstLine="567"/>
        <w:jc w:val="both"/>
      </w:pPr>
      <w:r w:rsidRPr="00F77584">
        <w:rPr>
          <w:lang w:val="ru-RU"/>
        </w:rPr>
        <w:t xml:space="preserve">Подробна информация относно степента на постигане на индикаторите е представена в Таблица в </w:t>
      </w:r>
      <w:r w:rsidRPr="00F77584">
        <w:rPr>
          <w:b/>
          <w:bCs/>
          <w:lang w:val="ru-RU"/>
        </w:rPr>
        <w:t>Приложение №</w:t>
      </w:r>
      <w:r w:rsidR="00546A88" w:rsidRPr="00EA175D">
        <w:rPr>
          <w:b/>
          <w:bCs/>
        </w:rPr>
        <w:t xml:space="preserve"> </w:t>
      </w:r>
      <w:r w:rsidR="001369B6" w:rsidRPr="00EA175D">
        <w:rPr>
          <w:b/>
          <w:bCs/>
        </w:rPr>
        <w:t>5</w:t>
      </w:r>
    </w:p>
    <w:p w14:paraId="35299579" w14:textId="77777777" w:rsidR="008C4A10" w:rsidRPr="00EA175D" w:rsidRDefault="00B50F40" w:rsidP="00EA175D">
      <w:pPr>
        <w:tabs>
          <w:tab w:val="left" w:pos="851"/>
        </w:tabs>
        <w:spacing w:line="360" w:lineRule="auto"/>
        <w:ind w:firstLine="567"/>
        <w:jc w:val="both"/>
      </w:pPr>
      <w:r w:rsidRPr="00EA175D">
        <w:t>4.</w:t>
      </w:r>
      <w:r w:rsidR="00810DB0" w:rsidRPr="00EA175D">
        <w:t xml:space="preserve"> </w:t>
      </w:r>
      <w:r w:rsidR="00240F21" w:rsidRPr="00EA175D">
        <w:t xml:space="preserve">Стратегии за ВОМР, по които няма изпълнение на заложените индикатори за цялостно изпълнение. </w:t>
      </w:r>
    </w:p>
    <w:p w14:paraId="17580ECA" w14:textId="33489CD4" w:rsidR="007724AB" w:rsidRPr="00EA175D" w:rsidRDefault="00240F21" w:rsidP="00EA175D">
      <w:pPr>
        <w:pStyle w:val="ab"/>
        <w:tabs>
          <w:tab w:val="left" w:pos="851"/>
        </w:tabs>
        <w:spacing w:line="360" w:lineRule="auto"/>
        <w:ind w:left="0" w:firstLine="567"/>
        <w:jc w:val="both"/>
      </w:pPr>
      <w:r w:rsidRPr="00EA175D">
        <w:t>Броят на индикаторите за цялостно изпълнение на стратегиите за ВОМР в тази група е 267 броя (</w:t>
      </w:r>
      <w:r w:rsidR="00DB6E81" w:rsidRPr="00EA175D">
        <w:t>24,38% от общия брой индикатори за цялостно прилагане на стратегиите за ВОМР</w:t>
      </w:r>
      <w:r w:rsidRPr="00EA175D">
        <w:t xml:space="preserve">), те са част от 53 стратегии за ВОМР </w:t>
      </w:r>
      <w:r w:rsidR="00DB6E81" w:rsidRPr="00EA175D">
        <w:t xml:space="preserve">(82,81% от всички МИГ) </w:t>
      </w:r>
      <w:r w:rsidRPr="00EA175D">
        <w:t xml:space="preserve">и при тях няма отчетен </w:t>
      </w:r>
      <w:r w:rsidR="00704440" w:rsidRPr="00EA175D">
        <w:t xml:space="preserve">никакъв </w:t>
      </w:r>
      <w:r w:rsidRPr="00EA175D">
        <w:t xml:space="preserve">напредък в изпълнението. Oт представените данните може да се направи извод, че </w:t>
      </w:r>
      <w:r w:rsidR="00147B77" w:rsidRPr="00EA175D">
        <w:t xml:space="preserve">по </w:t>
      </w:r>
      <w:r w:rsidR="00147B77" w:rsidRPr="00F77584">
        <w:rPr>
          <w:lang w:val="ru-RU"/>
        </w:rPr>
        <w:t xml:space="preserve">¼ </w:t>
      </w:r>
      <w:r w:rsidR="00147B77" w:rsidRPr="00EA175D">
        <w:t xml:space="preserve">от индикаторите за цялостно изпълнение на стратегиите за ВОМР не е постигнат какъвто и да е напредък. В тази връзка, </w:t>
      </w:r>
      <w:r w:rsidRPr="00EA175D">
        <w:t xml:space="preserve">МИГ следва да направят </w:t>
      </w:r>
      <w:r w:rsidRPr="00EA175D">
        <w:lastRenderedPageBreak/>
        <w:t>анализ на ефективността на заложените индикатори в тази група, да се преразгледат нагласите на местната общност, какви са общите проблеми на МИГ при прилагането на заложените мерки в стратегиите, как резултатите на подпомагане въздействат върху цялата територия, какви са благоприятните и неблагоприятните фактори, които влияят върху изпълнението на стратегията. Също така трябва МИГ да преразгледат работата си, да се предпиемат мерки за подобряването й. Степента на удоблетвореност и доверие между всички участници в прилагането на подхода е от изключителна важност за постигане на успешни резултати и изпълнение на заложените в стратегиите индикатори. Получените резултати ще спомогнат за по-ефективното и оптимално функциониране на МИГ, подобряване на комуникацията с всички у</w:t>
      </w:r>
      <w:r w:rsidR="00704440" w:rsidRPr="00EA175D">
        <w:t>ч</w:t>
      </w:r>
      <w:r w:rsidRPr="00EA175D">
        <w:t xml:space="preserve">астници в </w:t>
      </w:r>
      <w:r w:rsidR="00704440" w:rsidRPr="00EA175D">
        <w:t xml:space="preserve">прилагането на </w:t>
      </w:r>
      <w:r w:rsidRPr="00EA175D">
        <w:t xml:space="preserve">подхода </w:t>
      </w:r>
      <w:r w:rsidR="00704440" w:rsidRPr="00EA175D">
        <w:t>ВОМР</w:t>
      </w:r>
      <w:r w:rsidRPr="00EA175D">
        <w:t>, както на местно ниво, така и с администрацията, като всичко това ще доведе до по-доброто прилагане на стратегиите.</w:t>
      </w:r>
      <w:r w:rsidR="004103A0" w:rsidRPr="00F77584">
        <w:rPr>
          <w:lang w:val="ru-RU"/>
        </w:rPr>
        <w:t xml:space="preserve"> Подробна информация относно степента на постигане на индикаторите е представена в Таблица в </w:t>
      </w:r>
      <w:r w:rsidR="004103A0" w:rsidRPr="00F77584">
        <w:rPr>
          <w:b/>
          <w:bCs/>
          <w:lang w:val="ru-RU"/>
        </w:rPr>
        <w:t>Приложение №</w:t>
      </w:r>
      <w:r w:rsidR="00546A88" w:rsidRPr="00EA175D">
        <w:rPr>
          <w:b/>
          <w:bCs/>
        </w:rPr>
        <w:t xml:space="preserve"> </w:t>
      </w:r>
      <w:r w:rsidR="001369B6" w:rsidRPr="00EA175D">
        <w:rPr>
          <w:b/>
          <w:bCs/>
        </w:rPr>
        <w:t>6</w:t>
      </w:r>
    </w:p>
    <w:p w14:paraId="283C07F8" w14:textId="77777777" w:rsidR="00306D5F" w:rsidRPr="00EA175D" w:rsidRDefault="00306D5F" w:rsidP="00EA175D">
      <w:pPr>
        <w:pStyle w:val="ab"/>
        <w:tabs>
          <w:tab w:val="left" w:pos="851"/>
        </w:tabs>
        <w:spacing w:line="360" w:lineRule="auto"/>
        <w:ind w:left="0" w:firstLine="567"/>
        <w:jc w:val="both"/>
      </w:pPr>
    </w:p>
    <w:p w14:paraId="220A6B7E" w14:textId="77777777" w:rsidR="00306D5F" w:rsidRPr="00EA175D" w:rsidRDefault="00306D5F" w:rsidP="00EA175D">
      <w:pPr>
        <w:pStyle w:val="ab"/>
        <w:tabs>
          <w:tab w:val="left" w:pos="851"/>
        </w:tabs>
        <w:spacing w:line="360" w:lineRule="auto"/>
        <w:ind w:left="0" w:firstLine="567"/>
        <w:jc w:val="both"/>
        <w:rPr>
          <w:b/>
        </w:rPr>
      </w:pPr>
      <w:r w:rsidRPr="00EA175D">
        <w:rPr>
          <w:b/>
        </w:rPr>
        <w:t xml:space="preserve">Заключение </w:t>
      </w:r>
    </w:p>
    <w:p w14:paraId="04CA95AC" w14:textId="30B4C6A7" w:rsidR="00580859" w:rsidRPr="00EA175D" w:rsidRDefault="00580859" w:rsidP="00EA175D">
      <w:pPr>
        <w:pStyle w:val="ab"/>
        <w:tabs>
          <w:tab w:val="left" w:pos="851"/>
        </w:tabs>
        <w:spacing w:line="360" w:lineRule="auto"/>
        <w:ind w:left="0" w:firstLine="567"/>
        <w:jc w:val="both"/>
      </w:pPr>
      <w:r w:rsidRPr="00EA175D">
        <w:t>За етапа на прилагане на подхода ВОМР може да се каже, че нивото на ин</w:t>
      </w:r>
      <w:r w:rsidR="0051500C">
        <w:t>д</w:t>
      </w:r>
      <w:r w:rsidRPr="00EA175D">
        <w:t xml:space="preserve">икаторите, по които има изпълнение е сравнително добро. Тъй като мнозинството от индикаторите е свързано с първо група – сключени договори, то следва да се има предвид, че от най-важно значение е процесът на одобрение на проектните предложения и сключване на договори с крайни бенефициенти към стратегиите за ВОМР. Както беше представено по-рано в настоящата оценка, процесът по сключване на договори по ПРСР 2014 – 2020 г. с крайни бенефициенти към стратегиите за ВОМР </w:t>
      </w:r>
      <w:r w:rsidR="00516088" w:rsidRPr="00EA175D">
        <w:t>е от изключително важно значение за успешното изпълнение на подхода ВОМР и следва да бъде ускорен, като по</w:t>
      </w:r>
      <w:r w:rsidR="0051500C">
        <w:t xml:space="preserve"> </w:t>
      </w:r>
      <w:r w:rsidR="00516088" w:rsidRPr="00EA175D">
        <w:t>този начин ще се повиши и нивото на индикаторите за цялостно изпълнение на стратегиите за ВОМР, по които има изпълнение.</w:t>
      </w:r>
      <w:r w:rsidR="004103A0" w:rsidRPr="00EA175D">
        <w:t xml:space="preserve"> </w:t>
      </w:r>
    </w:p>
    <w:p w14:paraId="6ADC933D" w14:textId="77777777" w:rsidR="004103A0" w:rsidRPr="00EA175D" w:rsidRDefault="004103A0" w:rsidP="00EA175D">
      <w:pPr>
        <w:pStyle w:val="ab"/>
        <w:tabs>
          <w:tab w:val="left" w:pos="851"/>
        </w:tabs>
        <w:spacing w:line="360" w:lineRule="auto"/>
        <w:ind w:left="0" w:firstLine="567"/>
        <w:jc w:val="both"/>
      </w:pPr>
      <w:r w:rsidRPr="00EA175D">
        <w:t xml:space="preserve">Изготвените от МИГ индикатори за цялостно изпълнение на стратегиите за ВОМР са специфични за всяка стратегия и не е възможно да се представи унифицирана картина за тяхното постигане на ниво прилагане на подхода ВОМР. С цел оптимизиране на информацията относно изпълнението на индикаторите по стратегиите за ВОМР и </w:t>
      </w:r>
      <w:r w:rsidRPr="00EA175D">
        <w:lastRenderedPageBreak/>
        <w:t xml:space="preserve">нейното по-лесно систематизиране, обработка и извличането на </w:t>
      </w:r>
      <w:r w:rsidR="008051A6" w:rsidRPr="00EA175D">
        <w:t>съответните изводи, въз основа на които да се вземат и необходимите управленски решения, през следващия програмен период би било удачно да се помисли за по-голяма степен на унифициране и систематизиране на индикаторите за цялостно изпълнение на стратегиите за ВОМР.</w:t>
      </w:r>
    </w:p>
    <w:p w14:paraId="2B098E5C" w14:textId="77777777" w:rsidR="003115DD" w:rsidRPr="00EA175D" w:rsidRDefault="003115DD" w:rsidP="00EA175D">
      <w:pPr>
        <w:pStyle w:val="ab"/>
        <w:tabs>
          <w:tab w:val="left" w:pos="851"/>
        </w:tabs>
        <w:spacing w:line="360" w:lineRule="auto"/>
        <w:ind w:left="0" w:firstLine="567"/>
        <w:jc w:val="both"/>
      </w:pPr>
    </w:p>
    <w:p w14:paraId="28A73B5C" w14:textId="77777777" w:rsidR="00F46353" w:rsidRPr="00EA175D" w:rsidRDefault="00F46353" w:rsidP="00EA175D">
      <w:pPr>
        <w:pStyle w:val="1"/>
        <w:numPr>
          <w:ilvl w:val="1"/>
          <w:numId w:val="1"/>
        </w:numPr>
        <w:tabs>
          <w:tab w:val="left" w:pos="993"/>
        </w:tabs>
        <w:spacing w:line="360" w:lineRule="auto"/>
        <w:ind w:left="0" w:firstLine="567"/>
        <w:jc w:val="both"/>
        <w:rPr>
          <w:rFonts w:ascii="Times New Roman" w:hAnsi="Times New Roman" w:cs="Times New Roman"/>
          <w:color w:val="auto"/>
          <w:sz w:val="24"/>
          <w:szCs w:val="24"/>
        </w:rPr>
      </w:pPr>
      <w:bookmarkStart w:id="33" w:name="_Toc93489786"/>
      <w:r w:rsidRPr="00EA175D">
        <w:rPr>
          <w:rFonts w:ascii="Times New Roman" w:hAnsi="Times New Roman" w:cs="Times New Roman"/>
          <w:color w:val="auto"/>
          <w:sz w:val="24"/>
          <w:szCs w:val="24"/>
        </w:rPr>
        <w:t>Оценка на икономическото въздействие на подхода ВОМР на териториите на прилагане – извършени инвестиции, подкрепена и създадена заетост с финансиране от подхода ВОМР на териториите на неговото прилагане, добавена с</w:t>
      </w:r>
      <w:r w:rsidR="00961092" w:rsidRPr="00EA175D">
        <w:rPr>
          <w:rFonts w:ascii="Times New Roman" w:hAnsi="Times New Roman" w:cs="Times New Roman"/>
          <w:color w:val="auto"/>
          <w:sz w:val="24"/>
          <w:szCs w:val="24"/>
        </w:rPr>
        <w:t>тойност на инвестициите по ВОМР</w:t>
      </w:r>
      <w:bookmarkEnd w:id="33"/>
    </w:p>
    <w:p w14:paraId="329D0D64" w14:textId="77777777" w:rsidR="00432FEF" w:rsidRPr="00EA175D" w:rsidRDefault="00432FEF" w:rsidP="00EA175D">
      <w:pPr>
        <w:spacing w:line="360" w:lineRule="auto"/>
        <w:jc w:val="both"/>
      </w:pPr>
      <w:r w:rsidRPr="00EA175D">
        <w:t>Информация</w:t>
      </w:r>
      <w:r w:rsidR="00546A88" w:rsidRPr="00EA175D">
        <w:t xml:space="preserve"> за инвестициите е предоставена в</w:t>
      </w:r>
      <w:r w:rsidRPr="00EA175D">
        <w:t xml:space="preserve"> т. 3.3</w:t>
      </w:r>
      <w:r w:rsidR="00546A88" w:rsidRPr="00EA175D">
        <w:t>.</w:t>
      </w:r>
    </w:p>
    <w:p w14:paraId="4E178E6B" w14:textId="77777777" w:rsidR="00432FEF" w:rsidRPr="00F77584" w:rsidRDefault="00432FEF" w:rsidP="00EA175D">
      <w:pPr>
        <w:spacing w:line="360" w:lineRule="auto"/>
        <w:jc w:val="both"/>
        <w:rPr>
          <w:lang w:val="ru-RU"/>
        </w:rPr>
      </w:pPr>
    </w:p>
    <w:p w14:paraId="78BF7795" w14:textId="77777777" w:rsidR="00BF75FF" w:rsidRPr="00EA175D" w:rsidRDefault="00BF75FF" w:rsidP="00EA175D">
      <w:pPr>
        <w:spacing w:line="360" w:lineRule="auto"/>
        <w:jc w:val="both"/>
      </w:pPr>
      <w:r w:rsidRPr="00EA175D">
        <w:t xml:space="preserve">Подкрепа и създадена заетост с финансирането от подхода ВОМР на териториите на МИГ. </w:t>
      </w:r>
    </w:p>
    <w:p w14:paraId="645B91BA" w14:textId="77777777" w:rsidR="00BF75FF" w:rsidRPr="00EA175D" w:rsidRDefault="00BF75FF" w:rsidP="00EA175D">
      <w:pPr>
        <w:spacing w:line="360" w:lineRule="auto"/>
        <w:jc w:val="both"/>
      </w:pPr>
    </w:p>
    <w:p w14:paraId="27F27D7D" w14:textId="77777777" w:rsidR="00BF75FF" w:rsidRPr="00EA175D" w:rsidRDefault="00BF75FF" w:rsidP="00EA175D">
      <w:pPr>
        <w:spacing w:line="360" w:lineRule="auto"/>
        <w:jc w:val="both"/>
      </w:pPr>
      <w:r w:rsidRPr="00EA175D">
        <w:t>Все още не може да се даде вярна и точна оценка на подкрепената и създадена заетост, тъй като към този момент се сключват договорите по стратегиите и започва тяхното изпълнение и все още няма как да бъде получена точна информация за създадената заетост. Информация за подкрепената и създадена заетост на този етап от изпълнението на стратегиите за ВОМР ни дава изпълнението на заложения в стратегиите за ВОМР индикатор, който е свързан със създадени работни места.</w:t>
      </w:r>
    </w:p>
    <w:p w14:paraId="1CC4F3FD" w14:textId="77777777" w:rsidR="00BF75FF" w:rsidRPr="00EA175D" w:rsidRDefault="00BF75FF" w:rsidP="00EA175D">
      <w:pPr>
        <w:spacing w:line="360" w:lineRule="auto"/>
        <w:jc w:val="both"/>
      </w:pPr>
      <w:r w:rsidRPr="00EA175D">
        <w:t xml:space="preserve">Тъй като това е индикатор който е заложен на национално ниво в ПРСР 2014 -2020 г., 63 МИГ са включили този индикатор в индикаторите за цялостно изпълнение на стратегиите за ВОМР, само МИГ „Перущица- Родопи“ не е включил този индикатор в своята стратегия. </w:t>
      </w:r>
      <w:r w:rsidRPr="00EA175D">
        <w:cr/>
      </w:r>
    </w:p>
    <w:p w14:paraId="4AD0E0A4" w14:textId="77777777" w:rsidR="00BF75FF" w:rsidRPr="00EA175D" w:rsidRDefault="00BF75FF" w:rsidP="00EA175D">
      <w:pPr>
        <w:spacing w:line="360" w:lineRule="auto"/>
        <w:jc w:val="both"/>
      </w:pPr>
      <w:r w:rsidRPr="00EA175D">
        <w:t xml:space="preserve">Към 30.09.2021 г. МИГ отчитат 1643 създадени работни места от общо заявени по стратегиите 2900 работни места. Това означава, че към този момент 56,66% е </w:t>
      </w:r>
      <w:r w:rsidRPr="00EA175D">
        <w:lastRenderedPageBreak/>
        <w:t xml:space="preserve">създадената заетост от заявената такава по стратегиите, което е много добро изпълнение на индикатора за етапа на който е изпълнението на стратегиите за ВОМР. </w:t>
      </w:r>
    </w:p>
    <w:p w14:paraId="4A46C21A" w14:textId="77777777" w:rsidR="00BF75FF" w:rsidRPr="00EA175D" w:rsidRDefault="00BF75FF" w:rsidP="00EA175D">
      <w:pPr>
        <w:spacing w:line="360" w:lineRule="auto"/>
        <w:jc w:val="both"/>
      </w:pPr>
      <w:r w:rsidRPr="00EA175D">
        <w:t>Само 17 МИГ не отчитат създадена зетост към този момент, което означава, че само 26% от МИГ все още са на етап, в който не могат да отчетат създадени работни места по стратегиите за ВОМР.</w:t>
      </w:r>
    </w:p>
    <w:p w14:paraId="17914713" w14:textId="77777777" w:rsidR="00BF75FF" w:rsidRPr="00EA175D" w:rsidRDefault="00BF75FF" w:rsidP="00EA175D">
      <w:pPr>
        <w:spacing w:line="360" w:lineRule="auto"/>
        <w:jc w:val="both"/>
      </w:pPr>
      <w:r w:rsidRPr="00EA175D">
        <w:t xml:space="preserve">12 МИГ в момента отчитат над 100% изпълнение на индикатора за създадени работни места, което означава, че 19% от МИГ вече са преизпълнили един от най-важните индикатори от своята стратегия и са осигурили повече заетост на своята територия отколкото са заложили в своите стратегии. </w:t>
      </w:r>
    </w:p>
    <w:p w14:paraId="3B605F65" w14:textId="77777777" w:rsidR="00BF75FF" w:rsidRPr="00EA175D" w:rsidRDefault="00BF75FF" w:rsidP="00EA175D">
      <w:pPr>
        <w:spacing w:line="360" w:lineRule="auto"/>
        <w:jc w:val="both"/>
      </w:pPr>
      <w:r w:rsidRPr="00EA175D">
        <w:t>Обаче 6 МИГ отчитат създадени над 100 работни места към 30.09.2021 г. и това са:</w:t>
      </w:r>
    </w:p>
    <w:p w14:paraId="7B388812" w14:textId="7F4CA8B2" w:rsidR="00BF75FF" w:rsidRPr="00EA175D" w:rsidRDefault="00BF75FF" w:rsidP="00EA175D">
      <w:pPr>
        <w:spacing w:line="360" w:lineRule="auto"/>
        <w:jc w:val="both"/>
      </w:pPr>
      <w:r w:rsidRPr="00EA175D">
        <w:t>1. МИГ Лясковец –Стражица 102 създадени работни места;</w:t>
      </w:r>
    </w:p>
    <w:p w14:paraId="42C90756" w14:textId="3AF0A32F" w:rsidR="00BF75FF" w:rsidRPr="00EA175D" w:rsidRDefault="00BF75FF" w:rsidP="00EA175D">
      <w:pPr>
        <w:spacing w:line="360" w:lineRule="auto"/>
        <w:jc w:val="both"/>
      </w:pPr>
      <w:r w:rsidRPr="00EA175D">
        <w:t xml:space="preserve">2. МИГ Котел, Сунгурларе и Върбица 103 създадени работни места; </w:t>
      </w:r>
    </w:p>
    <w:p w14:paraId="352B3E31" w14:textId="3CB118EB" w:rsidR="00BF75FF" w:rsidRPr="00EA175D" w:rsidRDefault="00BF75FF" w:rsidP="00EA175D">
      <w:pPr>
        <w:spacing w:line="360" w:lineRule="auto"/>
        <w:jc w:val="both"/>
      </w:pPr>
      <w:r w:rsidRPr="00EA175D">
        <w:t>3.МИГ Девня-Аксаково 166 създадени работни места;</w:t>
      </w:r>
    </w:p>
    <w:p w14:paraId="56FDB05F" w14:textId="7115B6DA" w:rsidR="00BF75FF" w:rsidRPr="00EA175D" w:rsidRDefault="00BF75FF" w:rsidP="00EA175D">
      <w:pPr>
        <w:spacing w:line="360" w:lineRule="auto"/>
        <w:jc w:val="both"/>
      </w:pPr>
      <w:r w:rsidRPr="00EA175D">
        <w:t>4.МИГ Червен бряг 121 създадени работни места;</w:t>
      </w:r>
    </w:p>
    <w:p w14:paraId="5D640CCB" w14:textId="6914ADF9" w:rsidR="00BF75FF" w:rsidRPr="00EA175D" w:rsidRDefault="00BF75FF" w:rsidP="00EA175D">
      <w:pPr>
        <w:spacing w:line="360" w:lineRule="auto"/>
        <w:jc w:val="both"/>
      </w:pPr>
      <w:r w:rsidRPr="00EA175D">
        <w:t>5.МИГ Долни Чифлик 108 създадени работни места;</w:t>
      </w:r>
    </w:p>
    <w:p w14:paraId="624BB13E" w14:textId="59630F22" w:rsidR="00961092" w:rsidRPr="00EA175D" w:rsidRDefault="00BF75FF" w:rsidP="00EA175D">
      <w:pPr>
        <w:spacing w:line="360" w:lineRule="auto"/>
        <w:jc w:val="both"/>
      </w:pPr>
      <w:r w:rsidRPr="00EA175D">
        <w:t>6.МИГ Кирково Златоград 106 създадени работни места.</w:t>
      </w:r>
    </w:p>
    <w:p w14:paraId="0CDB8E23" w14:textId="77777777" w:rsidR="00F46353" w:rsidRPr="00EA175D" w:rsidRDefault="00F46353" w:rsidP="00EA175D">
      <w:pPr>
        <w:pStyle w:val="1"/>
        <w:numPr>
          <w:ilvl w:val="1"/>
          <w:numId w:val="1"/>
        </w:numPr>
        <w:tabs>
          <w:tab w:val="left" w:pos="993"/>
        </w:tabs>
        <w:spacing w:line="360" w:lineRule="auto"/>
        <w:ind w:left="0" w:firstLine="567"/>
        <w:jc w:val="both"/>
        <w:rPr>
          <w:rFonts w:ascii="Times New Roman" w:hAnsi="Times New Roman" w:cs="Times New Roman"/>
          <w:color w:val="auto"/>
          <w:sz w:val="24"/>
          <w:szCs w:val="24"/>
        </w:rPr>
      </w:pPr>
      <w:bookmarkStart w:id="34" w:name="_Toc93489787"/>
      <w:r w:rsidRPr="00EA175D">
        <w:rPr>
          <w:rFonts w:ascii="Times New Roman" w:hAnsi="Times New Roman" w:cs="Times New Roman"/>
          <w:color w:val="auto"/>
          <w:sz w:val="24"/>
          <w:szCs w:val="24"/>
        </w:rPr>
        <w:t>Оценка на социалното въздействие на подхода В</w:t>
      </w:r>
      <w:r w:rsidR="007E58D3" w:rsidRPr="00EA175D">
        <w:rPr>
          <w:rFonts w:ascii="Times New Roman" w:hAnsi="Times New Roman" w:cs="Times New Roman"/>
          <w:color w:val="auto"/>
          <w:sz w:val="24"/>
          <w:szCs w:val="24"/>
        </w:rPr>
        <w:t xml:space="preserve">ОМР на териториите на прилагане </w:t>
      </w:r>
      <w:r w:rsidRPr="00EA175D">
        <w:rPr>
          <w:rFonts w:ascii="Times New Roman" w:hAnsi="Times New Roman" w:cs="Times New Roman"/>
          <w:color w:val="auto"/>
          <w:sz w:val="24"/>
          <w:szCs w:val="24"/>
        </w:rPr>
        <w:t>–</w:t>
      </w:r>
      <w:r w:rsidR="007E58D3" w:rsidRPr="00EA175D">
        <w:rPr>
          <w:rFonts w:ascii="Times New Roman" w:hAnsi="Times New Roman" w:cs="Times New Roman"/>
          <w:color w:val="auto"/>
          <w:sz w:val="24"/>
          <w:szCs w:val="24"/>
        </w:rPr>
        <w:t xml:space="preserve"> </w:t>
      </w:r>
      <w:r w:rsidRPr="00EA175D">
        <w:rPr>
          <w:rFonts w:ascii="Times New Roman" w:hAnsi="Times New Roman" w:cs="Times New Roman"/>
          <w:color w:val="auto"/>
          <w:sz w:val="24"/>
          <w:szCs w:val="24"/>
        </w:rPr>
        <w:t>въздействие върху формирането на местната идентичност, активизиране на местните общности, повишаване на уменията на населението и потенциала за развитие на териториите на прилагане на подхода, повишаване на капацитета за работа по проекти, финансирани от ЕС, насърчаване на децентрализацията и местното самоуправление, задържане на населението и потенциал за намаля</w:t>
      </w:r>
      <w:r w:rsidR="00961092" w:rsidRPr="00EA175D">
        <w:rPr>
          <w:rFonts w:ascii="Times New Roman" w:hAnsi="Times New Roman" w:cs="Times New Roman"/>
          <w:color w:val="auto"/>
          <w:sz w:val="24"/>
          <w:szCs w:val="24"/>
        </w:rPr>
        <w:t>ване на процеса на обезлюдяване</w:t>
      </w:r>
      <w:bookmarkEnd w:id="34"/>
    </w:p>
    <w:p w14:paraId="5DE89CCB" w14:textId="77777777" w:rsidR="00961092" w:rsidRPr="00EA175D" w:rsidRDefault="00961092" w:rsidP="00EA175D">
      <w:pPr>
        <w:spacing w:line="360" w:lineRule="auto"/>
        <w:ind w:firstLine="567"/>
        <w:jc w:val="both"/>
      </w:pPr>
    </w:p>
    <w:p w14:paraId="3FD40DE9" w14:textId="77777777" w:rsidR="00B629FF" w:rsidRPr="00EA175D" w:rsidRDefault="00B629FF" w:rsidP="005F3B27">
      <w:pPr>
        <w:spacing w:line="360" w:lineRule="auto"/>
        <w:ind w:firstLine="567"/>
        <w:jc w:val="both"/>
      </w:pPr>
      <w:r w:rsidRPr="00EA175D">
        <w:t xml:space="preserve">На база на направената анкета резултатите сочат че, близо 36% от анкетираните поставят оценка „5“ на отговора на въпроса за интереса на местната общност към стратегията на ВОМР.  По-голяма част от тях обаче считат (48%), че местната общност не проявява голям интерес към стратегията за ВОМР ( 48% - оценка 4 и 8% оценка 3). В </w:t>
      </w:r>
      <w:r w:rsidRPr="00EA175D">
        <w:lastRenderedPageBreak/>
        <w:t>тази връзка и при отговорите на въпрос №3, 32% поставят оценка „5“ при определяне на активността на местната общност при изпълнение на стратегията на ВОМР. Близо 61% от анкетираните поставят оценки 3 и 4, което води до извода, че не са направени достатъчни усилия за включването на местната общност при изпълнението на стратегията.</w:t>
      </w:r>
    </w:p>
    <w:p w14:paraId="45266847" w14:textId="2235C152" w:rsidR="00B629FF" w:rsidRPr="00EA175D" w:rsidRDefault="00B629FF" w:rsidP="00EA175D">
      <w:pPr>
        <w:spacing w:line="360" w:lineRule="auto"/>
        <w:jc w:val="both"/>
      </w:pPr>
      <w:r w:rsidRPr="00EA175D">
        <w:t xml:space="preserve">От изключителна важност за по-нататъшната работа на МИГ </w:t>
      </w:r>
      <w:r w:rsidR="0051500C">
        <w:t xml:space="preserve">е </w:t>
      </w:r>
      <w:r w:rsidRPr="00EA175D">
        <w:t xml:space="preserve">оценката на стратегията на ВОМР от гледна точка потенциала за осъществяване на проекти на съответната територия. По-голяма част от анкетираните ( 46%) поставят оценка „4“. Отговорилите положително с оценка „5“ са 31%. </w:t>
      </w:r>
    </w:p>
    <w:p w14:paraId="6D7B5451" w14:textId="77777777" w:rsidR="00B629FF" w:rsidRPr="00EA175D" w:rsidRDefault="00B629FF" w:rsidP="00EA175D">
      <w:pPr>
        <w:spacing w:line="360" w:lineRule="auto"/>
        <w:jc w:val="both"/>
      </w:pPr>
      <w:r w:rsidRPr="00EA175D">
        <w:t>Представителите на МИГ определят стратегията за ВОМР като адекватна към конкретните условия на населеното място и в своята конкретика дава възможност за формиране на местната идентичност. 50% от анкетираните оценят стратегията на ВОМР като адекватна към местната идентичност на района. 39% счита, че е възможно тя да бъде подобрена в съответната насока.</w:t>
      </w:r>
    </w:p>
    <w:p w14:paraId="2F5E902D" w14:textId="77777777" w:rsidR="00B629FF" w:rsidRPr="00EA175D" w:rsidRDefault="00B629FF" w:rsidP="00EA175D">
      <w:pPr>
        <w:spacing w:line="360" w:lineRule="auto"/>
        <w:jc w:val="both"/>
      </w:pPr>
      <w:r w:rsidRPr="00EA175D">
        <w:t>МИГ чрез подхода ВОМР създава предпоставки за разработване на проекти, които да подпомагат местното развитие и да създават условия за развитие на териториите, за запазване на работните места. Важна е оценката на МИГ относно стратегиите за ВОМР за увеличаване на потенциала за проекти на територията на МИГ. От анкетираните 67% поставят оценка „5“, а 23% - оценка „4“.</w:t>
      </w:r>
    </w:p>
    <w:p w14:paraId="59CDE5CA" w14:textId="77777777" w:rsidR="00E6397A" w:rsidRPr="00EA175D" w:rsidRDefault="00B629FF" w:rsidP="00EA175D">
      <w:pPr>
        <w:spacing w:line="360" w:lineRule="auto"/>
        <w:jc w:val="both"/>
      </w:pPr>
      <w:r w:rsidRPr="00EA175D">
        <w:t>Според данните от анкетата на въпроса с оценката за приноса на подхода ВОМР за насърчаване на децентрализацията и местното самоуправление 42% от анкетираните поставят оценка „5“. Преобладаваща част от анкетираните считат, че подходът ВОМР не допринася съществено за този процес</w:t>
      </w:r>
    </w:p>
    <w:p w14:paraId="4AF54F3F" w14:textId="77777777" w:rsidR="000B4554" w:rsidRPr="00EA175D" w:rsidRDefault="00F46353" w:rsidP="00EA175D">
      <w:pPr>
        <w:pStyle w:val="1"/>
        <w:numPr>
          <w:ilvl w:val="1"/>
          <w:numId w:val="1"/>
        </w:numPr>
        <w:tabs>
          <w:tab w:val="left" w:pos="993"/>
        </w:tabs>
        <w:spacing w:line="360" w:lineRule="auto"/>
        <w:ind w:left="0" w:firstLine="567"/>
        <w:jc w:val="both"/>
        <w:rPr>
          <w:rFonts w:ascii="Times New Roman" w:hAnsi="Times New Roman" w:cs="Times New Roman"/>
          <w:color w:val="auto"/>
          <w:sz w:val="24"/>
          <w:szCs w:val="24"/>
        </w:rPr>
      </w:pPr>
      <w:bookmarkStart w:id="35" w:name="_Toc93489788"/>
      <w:r w:rsidRPr="00EA175D">
        <w:rPr>
          <w:rFonts w:ascii="Times New Roman" w:hAnsi="Times New Roman" w:cs="Times New Roman"/>
          <w:color w:val="auto"/>
          <w:sz w:val="24"/>
          <w:szCs w:val="24"/>
        </w:rPr>
        <w:t xml:space="preserve">Оценката на механизма за администриране и прилагане на подхода ВОМР, включващо нормативната </w:t>
      </w:r>
      <w:r w:rsidR="00961092" w:rsidRPr="00EA175D">
        <w:rPr>
          <w:rFonts w:ascii="Times New Roman" w:hAnsi="Times New Roman" w:cs="Times New Roman"/>
          <w:color w:val="auto"/>
          <w:sz w:val="24"/>
          <w:szCs w:val="24"/>
        </w:rPr>
        <w:t>уредба и правилата за прилагане</w:t>
      </w:r>
      <w:bookmarkEnd w:id="35"/>
    </w:p>
    <w:p w14:paraId="3FEE0E0F" w14:textId="77777777" w:rsidR="000B4554" w:rsidRPr="00EA175D" w:rsidRDefault="000B4554" w:rsidP="00EA175D">
      <w:pPr>
        <w:pStyle w:val="1"/>
        <w:tabs>
          <w:tab w:val="left" w:pos="993"/>
        </w:tabs>
        <w:spacing w:before="0" w:line="360" w:lineRule="auto"/>
        <w:ind w:firstLine="567"/>
        <w:jc w:val="both"/>
        <w:rPr>
          <w:rFonts w:ascii="Times New Roman" w:eastAsia="Calibri" w:hAnsi="Times New Roman" w:cs="Times New Roman"/>
          <w:bCs w:val="0"/>
          <w:color w:val="auto"/>
          <w:sz w:val="24"/>
          <w:szCs w:val="24"/>
          <w:u w:val="single"/>
        </w:rPr>
      </w:pPr>
      <w:bookmarkStart w:id="36" w:name="_Toc93489789"/>
      <w:r w:rsidRPr="00EA175D">
        <w:rPr>
          <w:rFonts w:ascii="Times New Roman" w:eastAsia="Calibri" w:hAnsi="Times New Roman" w:cs="Times New Roman"/>
          <w:bCs w:val="0"/>
          <w:color w:val="auto"/>
          <w:sz w:val="24"/>
          <w:szCs w:val="24"/>
          <w:u w:val="single"/>
        </w:rPr>
        <w:t>Правна рамка за прилагане на подхода ВОМР</w:t>
      </w:r>
      <w:bookmarkEnd w:id="36"/>
    </w:p>
    <w:p w14:paraId="2A9E3E0D" w14:textId="77777777" w:rsidR="00074D6F" w:rsidRPr="00EA175D" w:rsidRDefault="00074D6F" w:rsidP="00EA175D">
      <w:pPr>
        <w:spacing w:line="360" w:lineRule="auto"/>
        <w:ind w:firstLine="567"/>
        <w:jc w:val="both"/>
        <w:rPr>
          <w:u w:val="single"/>
        </w:rPr>
      </w:pPr>
      <w:r w:rsidRPr="00EA175D">
        <w:rPr>
          <w:u w:val="single"/>
        </w:rPr>
        <w:t xml:space="preserve">Европейска нормативна уредба, която най-пряко касае прилагане на подхода ВОМР: </w:t>
      </w:r>
    </w:p>
    <w:p w14:paraId="13BF4215" w14:textId="77777777" w:rsidR="00074D6F" w:rsidRPr="00EA175D" w:rsidRDefault="00074D6F" w:rsidP="00EA175D">
      <w:pPr>
        <w:numPr>
          <w:ilvl w:val="1"/>
          <w:numId w:val="4"/>
        </w:numPr>
        <w:spacing w:line="360" w:lineRule="auto"/>
        <w:ind w:left="0" w:firstLine="567"/>
        <w:contextualSpacing/>
        <w:jc w:val="both"/>
      </w:pPr>
      <w:r w:rsidRPr="00EA175D">
        <w:lastRenderedPageBreak/>
        <w:t>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14:paraId="2B56CC70" w14:textId="77777777" w:rsidR="00074D6F" w:rsidRPr="00EA175D" w:rsidRDefault="00074D6F" w:rsidP="00EA175D">
      <w:pPr>
        <w:numPr>
          <w:ilvl w:val="1"/>
          <w:numId w:val="4"/>
        </w:numPr>
        <w:spacing w:line="360" w:lineRule="auto"/>
        <w:ind w:left="0" w:firstLine="567"/>
        <w:contextualSpacing/>
        <w:jc w:val="both"/>
      </w:pPr>
      <w:r w:rsidRPr="00EA175D">
        <w:t>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14:paraId="3BEDAFFE" w14:textId="77777777" w:rsidR="00074D6F" w:rsidRPr="00EA175D" w:rsidRDefault="00074D6F" w:rsidP="00EA175D">
      <w:pPr>
        <w:numPr>
          <w:ilvl w:val="1"/>
          <w:numId w:val="4"/>
        </w:numPr>
        <w:spacing w:line="360" w:lineRule="auto"/>
        <w:ind w:left="0" w:firstLine="567"/>
        <w:contextualSpacing/>
        <w:jc w:val="both"/>
      </w:pPr>
      <w:r w:rsidRPr="00EA175D">
        <w:t>Регламент (ЕС) 2020/2220 на Европейския парламент и на Съвета от 23 декември 2020 година за определяне на някои преходни разпоредби във връзка с подпомагането от Европейския земеделски фонд за развитие на селските райони (ЕЗФРСР) и от Европейския фонд за гарантиране на земеделието (ЕФГЗ) през 2021 г. и 2022 г. и за изменение на регламенти (ЕС) № 1305/2013, (ЕС) № 1306/2013 и (ЕС) № 1307/2013 по отношение на ресурсите и на прилагането през 2021 г. и 2022 г. и Регламент (ЕС) № 1308/2013 по отношение на ресурсите и разпределението на това подпомагане за 2021 г. и 2022 г.</w:t>
      </w:r>
    </w:p>
    <w:p w14:paraId="28856BCE" w14:textId="77777777" w:rsidR="00074D6F" w:rsidRPr="00EA175D" w:rsidRDefault="00074D6F" w:rsidP="00EA175D">
      <w:pPr>
        <w:spacing w:line="360" w:lineRule="auto"/>
        <w:jc w:val="both"/>
      </w:pPr>
    </w:p>
    <w:p w14:paraId="21859115" w14:textId="77777777" w:rsidR="00074D6F" w:rsidRPr="00EA175D" w:rsidRDefault="00074D6F" w:rsidP="00EA175D">
      <w:pPr>
        <w:spacing w:line="360" w:lineRule="auto"/>
        <w:ind w:firstLine="567"/>
        <w:jc w:val="both"/>
        <w:rPr>
          <w:u w:val="single"/>
        </w:rPr>
      </w:pPr>
      <w:r w:rsidRPr="00EA175D">
        <w:rPr>
          <w:u w:val="single"/>
        </w:rPr>
        <w:t>Националната нормативна уредба за подхода ВОМР обхваща:</w:t>
      </w:r>
    </w:p>
    <w:p w14:paraId="1C1BA4E7" w14:textId="77777777" w:rsidR="00074D6F" w:rsidRPr="00EA175D" w:rsidRDefault="00074D6F" w:rsidP="00EA175D">
      <w:pPr>
        <w:numPr>
          <w:ilvl w:val="1"/>
          <w:numId w:val="4"/>
        </w:numPr>
        <w:spacing w:line="360" w:lineRule="auto"/>
        <w:ind w:left="0" w:firstLine="567"/>
        <w:contextualSpacing/>
        <w:jc w:val="both"/>
      </w:pPr>
      <w:r w:rsidRPr="00EA175D">
        <w:rPr>
          <w:bCs/>
        </w:rPr>
        <w:t>Закон за управление на средствата от европейските структурни и инвестиционни фондове;</w:t>
      </w:r>
    </w:p>
    <w:p w14:paraId="6B91F653" w14:textId="77777777" w:rsidR="00074D6F" w:rsidRPr="00EA175D" w:rsidRDefault="00074D6F" w:rsidP="00EA175D">
      <w:pPr>
        <w:numPr>
          <w:ilvl w:val="1"/>
          <w:numId w:val="4"/>
        </w:numPr>
        <w:spacing w:line="360" w:lineRule="auto"/>
        <w:ind w:left="0" w:firstLine="567"/>
        <w:contextualSpacing/>
        <w:jc w:val="both"/>
      </w:pPr>
      <w:r w:rsidRPr="00EA175D">
        <w:rPr>
          <w:bCs/>
        </w:rPr>
        <w:t>Закон за подпомагане на земеделските производители;</w:t>
      </w:r>
    </w:p>
    <w:p w14:paraId="59A3C822" w14:textId="77777777" w:rsidR="00074D6F" w:rsidRPr="00EA175D" w:rsidRDefault="00074D6F" w:rsidP="00EA175D">
      <w:pPr>
        <w:numPr>
          <w:ilvl w:val="1"/>
          <w:numId w:val="4"/>
        </w:numPr>
        <w:spacing w:line="360" w:lineRule="auto"/>
        <w:ind w:left="0" w:firstLine="567"/>
        <w:contextualSpacing/>
        <w:jc w:val="both"/>
      </w:pPr>
      <w:r w:rsidRPr="00EA175D">
        <w:rPr>
          <w:bCs/>
        </w:rPr>
        <w:t xml:space="preserve">Програма за развитие на селските райони за периода 2014 – 2020 г.; </w:t>
      </w:r>
    </w:p>
    <w:p w14:paraId="7B41B576" w14:textId="77777777" w:rsidR="00074D6F" w:rsidRPr="00EA175D" w:rsidRDefault="00074D6F" w:rsidP="00EA175D">
      <w:pPr>
        <w:numPr>
          <w:ilvl w:val="1"/>
          <w:numId w:val="4"/>
        </w:numPr>
        <w:spacing w:line="360" w:lineRule="auto"/>
        <w:ind w:left="0" w:firstLine="567"/>
        <w:contextualSpacing/>
        <w:jc w:val="both"/>
      </w:pPr>
      <w:r w:rsidRPr="00EA175D">
        <w:t>П</w:t>
      </w:r>
      <w:r w:rsidRPr="00EA175D">
        <w:rPr>
          <w:bCs/>
        </w:rPr>
        <w:t>остановление № 161 от 4 юли 2016 г. за определяне на правила за координация между управляващите органи на програмите и местните инициативни групи, и местните инициативни рибарски групи във връзка с изпълнението на подхода "Водено от общностите местно развитие" за периода 2014 - 2020 г.;</w:t>
      </w:r>
    </w:p>
    <w:p w14:paraId="22DB6C66" w14:textId="77777777" w:rsidR="00074D6F" w:rsidRPr="00EA175D" w:rsidRDefault="00074D6F" w:rsidP="00EA175D">
      <w:pPr>
        <w:numPr>
          <w:ilvl w:val="1"/>
          <w:numId w:val="4"/>
        </w:numPr>
        <w:spacing w:line="360" w:lineRule="auto"/>
        <w:ind w:left="0" w:firstLine="567"/>
        <w:contextualSpacing/>
        <w:jc w:val="both"/>
      </w:pPr>
      <w:r w:rsidRPr="00EA175D">
        <w:rPr>
          <w:bCs/>
        </w:rPr>
        <w:lastRenderedPageBreak/>
        <w:t>Постановление № 162 от 5 юли 2016 г. за определяне на детайлни правила за предоставяне на безвъзмездна финансова помощ по програмите, финансирани от европейските структурни и инвестиционни фондове за периода 2014 - 2020 г.;</w:t>
      </w:r>
    </w:p>
    <w:p w14:paraId="56DA5AB2" w14:textId="77777777" w:rsidR="00074D6F" w:rsidRPr="00EA175D" w:rsidRDefault="00074D6F" w:rsidP="00EA175D">
      <w:pPr>
        <w:numPr>
          <w:ilvl w:val="1"/>
          <w:numId w:val="4"/>
        </w:numPr>
        <w:spacing w:line="360" w:lineRule="auto"/>
        <w:ind w:left="0" w:firstLine="567"/>
        <w:contextualSpacing/>
        <w:jc w:val="both"/>
        <w:rPr>
          <w:bCs/>
        </w:rPr>
      </w:pPr>
      <w:r w:rsidRPr="00EA175D">
        <w:rPr>
          <w:bCs/>
        </w:rPr>
        <w:t>Постановление № 160 на Министерския съвет от 2016 г. за определяне правилата за разглеждане и оценяване на оферти и сключването на договорите в процедурата за избор с публична покана от получателя на безвъзмездна финансова помощ от Европейските структурни и инвестиционни фондове (ДВ, бр. 52 от 2016 г.);</w:t>
      </w:r>
    </w:p>
    <w:p w14:paraId="11D6501C" w14:textId="4A10BCA8" w:rsidR="00074D6F" w:rsidRPr="00EA175D" w:rsidRDefault="00074D6F" w:rsidP="00EA175D">
      <w:pPr>
        <w:numPr>
          <w:ilvl w:val="1"/>
          <w:numId w:val="4"/>
        </w:numPr>
        <w:spacing w:line="360" w:lineRule="auto"/>
        <w:ind w:left="0" w:firstLine="567"/>
        <w:contextualSpacing/>
        <w:jc w:val="both"/>
      </w:pPr>
      <w:r w:rsidRPr="00EA175D">
        <w:t>Постановление № 189 от 2016 г. на Министерския съвет за определяне на национални правила за допустимост на разходите по програмите, съфинансирани от Европейските структурни и инвестиционни фондове, за програмен период 2014 - 2020 г. (ДВ, бр. 61 от 2016 г.)</w:t>
      </w:r>
      <w:r w:rsidR="000A54C8">
        <w:t>;</w:t>
      </w:r>
    </w:p>
    <w:p w14:paraId="65CBF5CC" w14:textId="77777777" w:rsidR="00074D6F" w:rsidRPr="00EA175D" w:rsidRDefault="00074D6F" w:rsidP="00EA175D">
      <w:pPr>
        <w:numPr>
          <w:ilvl w:val="1"/>
          <w:numId w:val="4"/>
        </w:numPr>
        <w:spacing w:line="360" w:lineRule="auto"/>
        <w:ind w:left="0" w:firstLine="567"/>
        <w:contextualSpacing/>
        <w:jc w:val="both"/>
      </w:pPr>
      <w:r w:rsidRPr="00EA175D">
        <w:t>Н</w:t>
      </w:r>
      <w:r w:rsidR="004F0293" w:rsidRPr="00EA175D">
        <w:t>аредба</w:t>
      </w:r>
      <w:r w:rsidRPr="00EA175D">
        <w:t xml:space="preserve"> № 16 от 30.07.2015 г. за прилагане на подмярка 19.1 "Помощ за подготвителни дейности" на мярка 19 "Водено от общностите местно развитие" от Програмата за развитие на селските райони за периода 2014 – 2020 г.;</w:t>
      </w:r>
    </w:p>
    <w:p w14:paraId="5CA172B7" w14:textId="77777777" w:rsidR="00074D6F" w:rsidRPr="00EA175D" w:rsidRDefault="00074D6F" w:rsidP="00EA175D">
      <w:pPr>
        <w:numPr>
          <w:ilvl w:val="1"/>
          <w:numId w:val="4"/>
        </w:numPr>
        <w:spacing w:line="360" w:lineRule="auto"/>
        <w:ind w:left="0" w:firstLine="567"/>
        <w:contextualSpacing/>
        <w:jc w:val="both"/>
      </w:pPr>
      <w:r w:rsidRPr="00EA175D">
        <w:t>Н</w:t>
      </w:r>
      <w:r w:rsidR="004F0293" w:rsidRPr="00EA175D">
        <w:t>аредба</w:t>
      </w:r>
      <w:r w:rsidRPr="00EA175D">
        <w:t xml:space="preserve"> № 22 от14 декември 2015 г. за прилагане на подмярка  19.2 "Прилагане на операции в рамките на стратегии за Водено отобщностите местно развитие" на мярка 19 "Водено от общностите местно развитие" от Програмата за развитие на селските райони за периода 2014-2020 г.;</w:t>
      </w:r>
    </w:p>
    <w:p w14:paraId="38BACDFE" w14:textId="77777777" w:rsidR="00074D6F" w:rsidRPr="00EA175D" w:rsidRDefault="00074D6F" w:rsidP="00EA175D">
      <w:pPr>
        <w:numPr>
          <w:ilvl w:val="1"/>
          <w:numId w:val="4"/>
        </w:numPr>
        <w:spacing w:line="360" w:lineRule="auto"/>
        <w:ind w:left="0" w:firstLine="567"/>
        <w:contextualSpacing/>
        <w:jc w:val="both"/>
      </w:pPr>
      <w:r w:rsidRPr="00EA175D">
        <w:t>Н</w:t>
      </w:r>
      <w:r w:rsidR="004F0293" w:rsidRPr="00EA175D">
        <w:t>аредба</w:t>
      </w:r>
      <w:r w:rsidRPr="00EA175D">
        <w:t xml:space="preserve"> № 1 от 22.01.2016 г. за прилагане на подмярка 19.4 "Текущи разходи и популяризиране на стратегия за Водено от общностите местно развитие" на мярка 19 "Водено от общностите местно развитие" от Програмата за развитие на селските райони за периода 2014 – 2020 г.;</w:t>
      </w:r>
    </w:p>
    <w:p w14:paraId="717D583F" w14:textId="77777777" w:rsidR="00074D6F" w:rsidRPr="00EA175D" w:rsidRDefault="00074D6F" w:rsidP="00EA175D">
      <w:pPr>
        <w:numPr>
          <w:ilvl w:val="1"/>
          <w:numId w:val="4"/>
        </w:numPr>
        <w:spacing w:line="360" w:lineRule="auto"/>
        <w:ind w:left="0" w:firstLine="567"/>
        <w:contextualSpacing/>
        <w:jc w:val="both"/>
      </w:pPr>
      <w:r w:rsidRPr="00EA175D">
        <w:t>Наредба № 4 от 30 май 2018 г. за условията и реда за изплащане, намаляване или отказ за изплащане, или за оттегляне на изплатената финансова помощ за мерките и подмерките по чл. 9б, т. 2 от Закона за подпомагане на земеделските производители.</w:t>
      </w:r>
    </w:p>
    <w:p w14:paraId="70AF53F5" w14:textId="77777777" w:rsidR="00074D6F" w:rsidRPr="00EA175D" w:rsidRDefault="00074D6F" w:rsidP="00EA175D">
      <w:pPr>
        <w:spacing w:line="360" w:lineRule="auto"/>
        <w:ind w:firstLine="567"/>
        <w:jc w:val="both"/>
      </w:pPr>
    </w:p>
    <w:p w14:paraId="1134CD93" w14:textId="77777777" w:rsidR="00074D6F" w:rsidRPr="00EA175D" w:rsidRDefault="00074D6F" w:rsidP="00EA175D">
      <w:pPr>
        <w:spacing w:line="360" w:lineRule="auto"/>
        <w:ind w:firstLine="567"/>
        <w:jc w:val="both"/>
        <w:rPr>
          <w:u w:val="single"/>
        </w:rPr>
      </w:pPr>
      <w:r w:rsidRPr="00EA175D">
        <w:rPr>
          <w:u w:val="single"/>
        </w:rPr>
        <w:t>Правилата за прилагане на подхода ВОМР включват:</w:t>
      </w:r>
    </w:p>
    <w:p w14:paraId="31BF45B6" w14:textId="77777777" w:rsidR="00074D6F" w:rsidRPr="00EA175D" w:rsidRDefault="00074D6F" w:rsidP="00EA175D">
      <w:pPr>
        <w:numPr>
          <w:ilvl w:val="1"/>
          <w:numId w:val="4"/>
        </w:numPr>
        <w:spacing w:line="360" w:lineRule="auto"/>
        <w:ind w:left="0" w:firstLine="567"/>
        <w:contextualSpacing/>
        <w:jc w:val="both"/>
      </w:pPr>
      <w:r w:rsidRPr="00EA175D">
        <w:t>Правила за прилагане на подмярка 19.1 „Помощ за подготвителни дейности“ на мярка 19 ВОМР от ПРСР 2014 – 2020 г.;</w:t>
      </w:r>
    </w:p>
    <w:p w14:paraId="11E231A2" w14:textId="6708BAC8" w:rsidR="00074D6F" w:rsidRPr="00EA175D" w:rsidRDefault="00074D6F" w:rsidP="00EA175D">
      <w:pPr>
        <w:numPr>
          <w:ilvl w:val="1"/>
          <w:numId w:val="4"/>
        </w:numPr>
        <w:spacing w:line="360" w:lineRule="auto"/>
        <w:ind w:left="0" w:firstLine="567"/>
        <w:contextualSpacing/>
        <w:jc w:val="both"/>
      </w:pPr>
      <w:r w:rsidRPr="00EA175D">
        <w:lastRenderedPageBreak/>
        <w:t>Правила за прилагане на подмярка 19.1 „Помощ за подготвителни дейности“ на мярка 19 ВОМР от ПРСР 2014 – 2020 г. в частта за малки пилотни проекти</w:t>
      </w:r>
      <w:r w:rsidR="000A54C8">
        <w:t>;</w:t>
      </w:r>
    </w:p>
    <w:p w14:paraId="2D96D783" w14:textId="44285877" w:rsidR="00074D6F" w:rsidRPr="00EA175D" w:rsidRDefault="00074D6F" w:rsidP="00EA175D">
      <w:pPr>
        <w:numPr>
          <w:ilvl w:val="1"/>
          <w:numId w:val="4"/>
        </w:numPr>
        <w:spacing w:line="360" w:lineRule="auto"/>
        <w:ind w:left="0" w:firstLine="567"/>
        <w:contextualSpacing/>
        <w:jc w:val="both"/>
      </w:pPr>
      <w:r w:rsidRPr="00EA175D">
        <w:t>Правила за прилагане на подмярка 19.2 „Прилагане на операции в рамките на стратегии за ВОМР“ на мярка 19 ВОМР от ПРСР 2014 – 2020 г.</w:t>
      </w:r>
      <w:r w:rsidR="000A54C8">
        <w:t>;</w:t>
      </w:r>
    </w:p>
    <w:p w14:paraId="0ED69742" w14:textId="034639AA" w:rsidR="00074D6F" w:rsidRPr="00EA175D" w:rsidRDefault="00074D6F" w:rsidP="00EA175D">
      <w:pPr>
        <w:numPr>
          <w:ilvl w:val="1"/>
          <w:numId w:val="4"/>
        </w:numPr>
        <w:spacing w:line="360" w:lineRule="auto"/>
        <w:ind w:left="0" w:firstLine="567"/>
        <w:contextualSpacing/>
        <w:jc w:val="both"/>
      </w:pPr>
      <w:r w:rsidRPr="00EA175D">
        <w:t>Правила за прилагане на подмярка 19.3 „Подготовка и изпълнение на дейности за сътрудничество на местни инициативни групи“</w:t>
      </w:r>
      <w:r w:rsidR="000A54C8">
        <w:t>;</w:t>
      </w:r>
    </w:p>
    <w:p w14:paraId="59756A35" w14:textId="0932E12D" w:rsidR="00074D6F" w:rsidRPr="00EA175D" w:rsidRDefault="00074D6F" w:rsidP="00EA175D">
      <w:pPr>
        <w:numPr>
          <w:ilvl w:val="1"/>
          <w:numId w:val="4"/>
        </w:numPr>
        <w:spacing w:line="360" w:lineRule="auto"/>
        <w:ind w:left="0" w:firstLine="567"/>
        <w:contextualSpacing/>
        <w:jc w:val="both"/>
      </w:pPr>
      <w:r w:rsidRPr="00EA175D">
        <w:t>Правила за прилагане на подмярка 19.4 „Текущи разходи и популяризиране на стратегия за ВОМР“ на мярка 19 ВОМР от ПРСР 2014 – 2020 г.</w:t>
      </w:r>
      <w:r w:rsidR="000A54C8">
        <w:t>;</w:t>
      </w:r>
    </w:p>
    <w:p w14:paraId="08786C0B" w14:textId="2404DF39" w:rsidR="00074D6F" w:rsidRPr="00EA175D" w:rsidRDefault="00074D6F" w:rsidP="00EA175D">
      <w:pPr>
        <w:numPr>
          <w:ilvl w:val="1"/>
          <w:numId w:val="4"/>
        </w:numPr>
        <w:spacing w:line="360" w:lineRule="auto"/>
        <w:ind w:left="0" w:firstLine="567"/>
        <w:contextualSpacing/>
        <w:jc w:val="both"/>
      </w:pPr>
      <w:r w:rsidRPr="00EA175D">
        <w:t>Правила за работа на Комитета за подбор на стратегии за ВОМР и на МИГ по подмярка 19.2 „Прилагане на операции в рамките на стратегии за ВОМР“ на мярка 19 ВОМР от ПРСР 2014 – 2020 г.</w:t>
      </w:r>
      <w:r w:rsidR="000A54C8">
        <w:t>;</w:t>
      </w:r>
    </w:p>
    <w:p w14:paraId="0ED58DFB" w14:textId="77777777" w:rsidR="00074D6F" w:rsidRPr="00EA175D" w:rsidRDefault="00074D6F" w:rsidP="00EA175D">
      <w:pPr>
        <w:numPr>
          <w:ilvl w:val="1"/>
          <w:numId w:val="4"/>
        </w:numPr>
        <w:spacing w:line="360" w:lineRule="auto"/>
        <w:ind w:left="0" w:firstLine="567"/>
        <w:contextualSpacing/>
        <w:jc w:val="both"/>
      </w:pPr>
      <w:r w:rsidRPr="00EA175D">
        <w:t>Насоки за определяне на условията за кандидатстване и условията за изпълнение на одобрените стратегии за ВОМР съгласно чл. 24 на ПМС 161;</w:t>
      </w:r>
    </w:p>
    <w:p w14:paraId="31B4A190" w14:textId="77777777" w:rsidR="00074D6F" w:rsidRPr="00EA175D" w:rsidRDefault="00074D6F" w:rsidP="00EA175D">
      <w:pPr>
        <w:numPr>
          <w:ilvl w:val="1"/>
          <w:numId w:val="4"/>
        </w:numPr>
        <w:spacing w:line="360" w:lineRule="auto"/>
        <w:ind w:left="0" w:firstLine="567"/>
        <w:contextualSpacing/>
        <w:jc w:val="both"/>
      </w:pPr>
      <w:r w:rsidRPr="00EA175D">
        <w:t>Насоки определящи условия за кандидатстване и условия за изпълнение на одобрените проекти по подмярка 19.3 „Подготовка и изпълнение на дейности за сътрудничество на местни инициативни групи“;</w:t>
      </w:r>
    </w:p>
    <w:p w14:paraId="79A6E0CF" w14:textId="77777777" w:rsidR="00074D6F" w:rsidRPr="00EA175D" w:rsidRDefault="00074D6F" w:rsidP="00EA175D">
      <w:pPr>
        <w:numPr>
          <w:ilvl w:val="1"/>
          <w:numId w:val="4"/>
        </w:numPr>
        <w:spacing w:line="360" w:lineRule="auto"/>
        <w:ind w:left="0" w:firstLine="567"/>
        <w:contextualSpacing/>
        <w:jc w:val="both"/>
      </w:pPr>
      <w:r w:rsidRPr="00EA175D">
        <w:t xml:space="preserve"> Насоки определящи условия за кандидатстване и условия за изпълнение на одобрените проекти по подмярка 19.1 „Помощ за подготвителни дейности“ на мярка 19 ВОМР от ПРСР 2014 – 2020 г. в частта за малки пилотни проекти;</w:t>
      </w:r>
    </w:p>
    <w:p w14:paraId="120B5AB1" w14:textId="534ABB50" w:rsidR="00074D6F" w:rsidRPr="00EA175D" w:rsidRDefault="00074D6F" w:rsidP="00EA175D">
      <w:pPr>
        <w:numPr>
          <w:ilvl w:val="1"/>
          <w:numId w:val="4"/>
        </w:numPr>
        <w:spacing w:line="360" w:lineRule="auto"/>
        <w:ind w:left="0" w:firstLine="567"/>
        <w:contextualSpacing/>
        <w:jc w:val="both"/>
      </w:pPr>
      <w:r w:rsidRPr="00EA175D">
        <w:t>Указания за прием на проекти, подавани по стратегии за ВОМР съгласно чл. 37 на ПМС 161</w:t>
      </w:r>
      <w:r w:rsidR="000A54C8">
        <w:t>;</w:t>
      </w:r>
      <w:r w:rsidRPr="00EA175D">
        <w:t xml:space="preserve"> </w:t>
      </w:r>
    </w:p>
    <w:p w14:paraId="58A2E495" w14:textId="77777777" w:rsidR="00074D6F" w:rsidRPr="00EA175D" w:rsidRDefault="00074D6F" w:rsidP="00EA175D">
      <w:pPr>
        <w:numPr>
          <w:ilvl w:val="1"/>
          <w:numId w:val="4"/>
        </w:numPr>
        <w:spacing w:line="360" w:lineRule="auto"/>
        <w:ind w:left="0" w:firstLine="567"/>
        <w:contextualSpacing/>
        <w:jc w:val="both"/>
      </w:pPr>
      <w:r w:rsidRPr="00EA175D">
        <w:t>Указания за приложимия режим на държавни помощи по мерки, финансирани от ПРСР в стратегиите за ВОМР и условия, произтичащи от него.</w:t>
      </w:r>
    </w:p>
    <w:p w14:paraId="7C280F60" w14:textId="77777777" w:rsidR="00074D6F" w:rsidRPr="00EA175D" w:rsidRDefault="00074D6F" w:rsidP="00EA175D">
      <w:pPr>
        <w:spacing w:line="360" w:lineRule="auto"/>
        <w:ind w:firstLine="567"/>
        <w:jc w:val="both"/>
        <w:rPr>
          <w:rFonts w:eastAsiaTheme="minorHAnsi"/>
          <w:noProof w:val="0"/>
          <w:lang w:eastAsia="en-US"/>
        </w:rPr>
      </w:pPr>
      <w:r w:rsidRPr="00EA175D">
        <w:rPr>
          <w:rFonts w:eastAsiaTheme="minorHAnsi"/>
          <w:noProof w:val="0"/>
          <w:lang w:eastAsia="en-US"/>
        </w:rPr>
        <w:t>От 2017 година ПРСР се администрира в Информационната система за управление и наблюдение – ИСУН. От този момент прилагането на ПРСР, включително и на подхода ВОМР се извършва съгласно ЗУСЕСИФ посредством насоки, определящи условията за кандидатстване и условията за изпълнение на одобрените проекти.</w:t>
      </w:r>
    </w:p>
    <w:p w14:paraId="27E2E19E" w14:textId="77777777" w:rsidR="00074D6F" w:rsidRPr="00EA175D" w:rsidRDefault="008E27AA" w:rsidP="00EA175D">
      <w:pPr>
        <w:keepNext/>
        <w:keepLines/>
        <w:tabs>
          <w:tab w:val="left" w:pos="993"/>
        </w:tabs>
        <w:spacing w:line="360" w:lineRule="auto"/>
        <w:ind w:left="567"/>
        <w:jc w:val="both"/>
        <w:outlineLvl w:val="0"/>
        <w:rPr>
          <w:b/>
          <w:u w:val="single"/>
        </w:rPr>
      </w:pPr>
      <w:bookmarkStart w:id="37" w:name="_Toc93489790"/>
      <w:r w:rsidRPr="00EA175D">
        <w:rPr>
          <w:b/>
          <w:u w:val="single"/>
        </w:rPr>
        <w:lastRenderedPageBreak/>
        <w:t>Структура</w:t>
      </w:r>
      <w:r w:rsidR="00074D6F" w:rsidRPr="00EA175D">
        <w:rPr>
          <w:b/>
          <w:u w:val="single"/>
        </w:rPr>
        <w:t xml:space="preserve"> на прилагане на подхода ВОМР</w:t>
      </w:r>
      <w:bookmarkEnd w:id="37"/>
    </w:p>
    <w:p w14:paraId="45F63B19" w14:textId="77777777" w:rsidR="00074D6F" w:rsidRPr="00EA175D" w:rsidRDefault="00074D6F" w:rsidP="00EA175D">
      <w:pPr>
        <w:spacing w:line="360" w:lineRule="auto"/>
        <w:ind w:firstLine="567"/>
        <w:jc w:val="both"/>
      </w:pPr>
      <w:r w:rsidRPr="00EA175D">
        <w:t>За програмен период 2014 – 2020 г. подходът ВОМР се финансира от три фонда – Европейския земеделски фонд за развитие на селските райони, Европейския социален фонд и Европейския фонд за регионално развитие. Управлението на тези фондове се извършва съответно от Управляващите органи на Програмата за развитие на селските райони (ПРСР), Оперативна програма „Развитие на човешките ресурси“, Оперативна програма „Околна среда“ (ОПОС), Оперативна програма „Иновации и конкурентоспособност“ и Оперативна програма „Наука и образование за интелигентен растеж“.</w:t>
      </w:r>
    </w:p>
    <w:p w14:paraId="1245F99D" w14:textId="77777777" w:rsidR="00074D6F" w:rsidRPr="00EA175D" w:rsidRDefault="00074D6F" w:rsidP="00EA175D">
      <w:pPr>
        <w:spacing w:line="360" w:lineRule="auto"/>
        <w:ind w:firstLine="567"/>
        <w:jc w:val="both"/>
      </w:pPr>
      <w:r w:rsidRPr="00EA175D">
        <w:t>Многофондовото прилагане на подхода ВОМР изисква координирани действия между програмите от съответните ЕСИФ. Структурата на прилагане на подхода е представена в Споразумението за партньорство, където е заложено координацията на подхода да бъде регулирана в специален нормативен акт, който да бъде приет в срок до 3 месеца след одобрението от ЕК и на последната програма по ЕСИФ, включена в подхода ВОМР. Предвидено е нормативният акт, да очертава рамката и основните административни регулации по прилагане на подхода, като определяне на структури, връзката между тях, отделните функции, права и отговорности, включително и тези на местните инициативни групи.</w:t>
      </w:r>
    </w:p>
    <w:p w14:paraId="2185B31C" w14:textId="77777777" w:rsidR="00074D6F" w:rsidRPr="00EA175D" w:rsidRDefault="00074D6F" w:rsidP="00EA175D">
      <w:pPr>
        <w:spacing w:line="360" w:lineRule="auto"/>
        <w:ind w:firstLine="567"/>
        <w:jc w:val="both"/>
        <w:rPr>
          <w:u w:val="single"/>
        </w:rPr>
      </w:pPr>
      <w:r w:rsidRPr="00EA175D">
        <w:rPr>
          <w:u w:val="single"/>
        </w:rPr>
        <w:t>Отдел ВОМР</w:t>
      </w:r>
    </w:p>
    <w:p w14:paraId="2135000E" w14:textId="67043AE3" w:rsidR="00074D6F" w:rsidRPr="00EA175D" w:rsidRDefault="00074D6F" w:rsidP="00EA175D">
      <w:pPr>
        <w:spacing w:line="360" w:lineRule="auto"/>
        <w:ind w:firstLine="567"/>
        <w:jc w:val="both"/>
      </w:pPr>
      <w:r w:rsidRPr="00EA175D">
        <w:t xml:space="preserve">Условията и редът за осъществяване на координацията между УО на програмите с финансово участие по подхода и МИГ, са регламентирани в ПМС № 161 от 04.07.2016 г. Заложено е координацията да е по отношение на разработването, подбора и изпълнението на стратегии за ВОМР както и на проектите към тях, подкрепени по повече от един от ЕСИФ. С постановлението е определен и мониторинга на стратегиите за ВОМР. Съгласно националното законодателство отговорен Управляващ орган на подхода ВОМР е Управляващият орган на Програмата за развитие на селските райони 2014 – 2020 г. – чл. 11, ал. 1 на ПМС № 161 от 4 юли 2016 г. Отдел ВОМР в дирекция „Развитие на селските райони“ на Министерство на земеделието е пряко отговорен за прилагането на подхода ВОМР. Към момента на изготвяне на настоящата оценка в </w:t>
      </w:r>
      <w:r w:rsidRPr="00EA175D">
        <w:lastRenderedPageBreak/>
        <w:t>отдела работят общо 11 души, включително началникът на отдела.</w:t>
      </w:r>
      <w:r w:rsidRPr="00F77584">
        <w:rPr>
          <w:lang w:val="ru-RU"/>
        </w:rPr>
        <w:t xml:space="preserve"> </w:t>
      </w:r>
      <w:r w:rsidRPr="00EA175D">
        <w:t>За периода на прилагане на подхода ВОМР в УО на ПРСР 2014 – 2020 г. са извършени редица промени в състава на отдела, отговарящ за прилагането на подхода ВОМР. Наблюдавя се тенденция към намаляване на утвърдената численост в отговорното структурно звено в УО на ПРСР по прилагане на подхода ВОМР. Към 01.01.2015 г. отделът е с утвърдена численост от 13 щатни бройки експертен персонал и 9 служители допълнителна численост по ПМС № 230 от 2009 г., или общо 22 служители. От 21.04.2015 г. е извършено преструктуриране в дирекция „Развитие на селските райони“, в резултат на което утвърдената численост на отдела е намалена на 9 щатни бройки експертен състав и 5 служители допълнителна численост по ПМС № 230 от 2009 г. или общо 14 служители. През 2017 г. отново са намалени щатните бройки на експертите – с 2 броя, а през 2019 г. са увеличени с 1 брой, или утвърдената обща численост към 31.12.2019 г. е 13. Към момента на извършване на настоящата оценка местата за служители в отдела са общо 14, от които 9 щатни и 5 по ПМС № 230 от 2009 г. От тях заети са общо</w:t>
      </w:r>
      <w:r w:rsidR="000A54C8">
        <w:t xml:space="preserve"> 11</w:t>
      </w:r>
      <w:r w:rsidRPr="00EA175D">
        <w:t xml:space="preserve">  места, като 3 са свободни. През периода на прилагане на подхода ВОМР, в резултат от различни структурни промени, утвърдената обща численост на отдела е намалена с 37 на сто.</w:t>
      </w:r>
    </w:p>
    <w:p w14:paraId="094FEC7C" w14:textId="77777777" w:rsidR="00074D6F" w:rsidRPr="00EA175D" w:rsidRDefault="00074D6F" w:rsidP="00EA175D">
      <w:pPr>
        <w:spacing w:line="360" w:lineRule="auto"/>
        <w:ind w:firstLine="567"/>
        <w:jc w:val="both"/>
      </w:pPr>
      <w:r w:rsidRPr="00EA175D">
        <w:t xml:space="preserve">Съгласно чл. 37, ал. 2 на ПМС № 161 </w:t>
      </w:r>
      <w:r w:rsidRPr="00EA175D">
        <w:rPr>
          <w:lang w:val="x-none"/>
        </w:rPr>
        <w:t xml:space="preserve">Управляващият орган на ПРСР </w:t>
      </w:r>
      <w:r w:rsidRPr="00EA175D">
        <w:t xml:space="preserve">2014 – 2020 г. </w:t>
      </w:r>
      <w:r w:rsidRPr="00EA175D">
        <w:rPr>
          <w:lang w:val="x-none"/>
        </w:rPr>
        <w:t>изготвя отчети за изпълнението на стратегиите за ВОМР в края на всяко шестмесечие и ги предоставя на Съвета за координация при управлението на средствата от Европейския съюз и на комитетите за наблюдение на програмите, които участват във финансирането на стратегиите.</w:t>
      </w:r>
      <w:r w:rsidRPr="00EA175D">
        <w:t xml:space="preserve"> За периода на прилагане на подхода ВОМР УО на ПРСР 2014 – 2020 г. е спазвал стриктно това изискване като е информирал всички участници в прилагането му относно напредъка на неговото изпълнение. Част от информацията от тези отчети е използвана и при изготвянето на настоящата оценка.</w:t>
      </w:r>
    </w:p>
    <w:p w14:paraId="5A300AE4" w14:textId="77777777" w:rsidR="00074D6F" w:rsidRPr="00EA175D" w:rsidRDefault="00074D6F" w:rsidP="00EA175D">
      <w:pPr>
        <w:spacing w:line="360" w:lineRule="auto"/>
        <w:ind w:firstLine="567"/>
        <w:jc w:val="both"/>
        <w:rPr>
          <w:u w:val="single"/>
        </w:rPr>
      </w:pPr>
      <w:r w:rsidRPr="00EA175D">
        <w:rPr>
          <w:u w:val="single"/>
        </w:rPr>
        <w:t>Управляващи органи на оперативни програми прилагащи подхода ВОМР.</w:t>
      </w:r>
    </w:p>
    <w:p w14:paraId="001EAF5D" w14:textId="77777777" w:rsidR="00074D6F" w:rsidRPr="00EA175D" w:rsidRDefault="00074D6F" w:rsidP="00EA175D">
      <w:pPr>
        <w:spacing w:line="360" w:lineRule="auto"/>
        <w:ind w:firstLine="567"/>
        <w:jc w:val="both"/>
      </w:pPr>
      <w:r w:rsidRPr="00EA175D">
        <w:t xml:space="preserve">В Министерство на икономиката отговорен за прилагане на подхода ВОМР е </w:t>
      </w:r>
      <w:r w:rsidRPr="00EA175D">
        <w:rPr>
          <w:iCs/>
        </w:rPr>
        <w:t xml:space="preserve">Управляващият орган на ОПИК Главна дирекция „Европейски фондове за конкурентоспособност“. </w:t>
      </w:r>
      <w:r w:rsidRPr="00EA175D">
        <w:t>Със заповед на ръководителя на УО е определен екип за координация за изпълнение на подхода ВОМР</w:t>
      </w:r>
      <w:r w:rsidRPr="00EA175D">
        <w:rPr>
          <w:iCs/>
        </w:rPr>
        <w:t xml:space="preserve"> </w:t>
      </w:r>
      <w:r w:rsidRPr="00EA175D">
        <w:t xml:space="preserve">по ОПИК, в който са включени поименно </w:t>
      </w:r>
      <w:r w:rsidRPr="00EA175D">
        <w:lastRenderedPageBreak/>
        <w:t>експерти от всички отдели на главната дирекция. На екипа е възложено да подпомага ръководителя на УО на ОПИК при осъществяване на функциите по управление, изпълнение и контрол на дейностите по прилагане на подхода ВОМР, както и съгласуване на годишните доклади на МИГ.</w:t>
      </w:r>
    </w:p>
    <w:p w14:paraId="343A30CB" w14:textId="77777777" w:rsidR="00074D6F" w:rsidRPr="00EA175D" w:rsidRDefault="00074D6F" w:rsidP="00EA175D">
      <w:pPr>
        <w:spacing w:line="360" w:lineRule="auto"/>
        <w:ind w:firstLine="567"/>
        <w:jc w:val="both"/>
        <w:rPr>
          <w:iCs/>
        </w:rPr>
      </w:pPr>
      <w:r w:rsidRPr="00EA175D">
        <w:t xml:space="preserve">В </w:t>
      </w:r>
      <w:r w:rsidRPr="00EA175D">
        <w:rPr>
          <w:iCs/>
        </w:rPr>
        <w:t>Министерство на труда и социалната политика отговорен за прилагане на подхода ВОМР е Управляващият орган на ОПРЧР Главна дирещия „Европейски фондове, международни програми и проекти“. За координация при изпълнение на подхода ВОМР от ръководителя на УО на ОПРЧР е определен екип от служители от отдели, пряко свързани с осъществяване на проверка и съгласуване на процедури за прием на проекти, обявявани от МИГ, наблюдение и контрол на стратегии за ВОМР и изпълнение на проекти към стратегиите. Екипът подпомага ръководителя на УО на ОПРЧР по осъществяване на</w:t>
      </w:r>
      <w:r w:rsidRPr="00EA175D">
        <w:t xml:space="preserve"> </w:t>
      </w:r>
      <w:r w:rsidRPr="00EA175D">
        <w:rPr>
          <w:iCs/>
        </w:rPr>
        <w:t>функциите по управление, изпълнение и контрол на дейностите по прилагане и координация при изпълнение на подхода ВОМР.</w:t>
      </w:r>
    </w:p>
    <w:p w14:paraId="376EA374" w14:textId="77777777" w:rsidR="00074D6F" w:rsidRPr="00EA175D" w:rsidRDefault="00074D6F" w:rsidP="00EA175D">
      <w:pPr>
        <w:spacing w:line="360" w:lineRule="auto"/>
        <w:ind w:firstLine="567"/>
        <w:jc w:val="both"/>
        <w:rPr>
          <w:iCs/>
        </w:rPr>
      </w:pPr>
      <w:r w:rsidRPr="00EA175D">
        <w:rPr>
          <w:iCs/>
        </w:rPr>
        <w:t>В Изпълнителна агенция „Оперативна програма Наука и образование за интелигентен растеж“ (Министерство на образованието) отговорен за прилагане на подхода ВОМР е Управляващият орган на ОПНОИР Изпълнителна агенция „Оперативна програма Наука и образование за интелигентен растеж“. По подхода е създадена постоянна работна групат с включени служители от УО от всички дирекции на специализираната администрация и една дирекция от общата администрация, съгласно Устройствения правилник на ИАОПНОИР. Задачите на постоянната работна група са свързани с подпомагане на ръководителя на УО в управлението, изпълнението и контрола на дейностите по прилагане и координация на подхода ВОМР, изготвяне на указания за прием на проекти на МИГ, при необходимост извършване на промени в Наръчника на УО на ОПНОИР в главата за ВОМР.</w:t>
      </w:r>
    </w:p>
    <w:p w14:paraId="2A817AD9" w14:textId="77777777" w:rsidR="00074D6F" w:rsidRPr="00EA175D" w:rsidRDefault="00074D6F" w:rsidP="00EA175D">
      <w:pPr>
        <w:spacing w:line="360" w:lineRule="auto"/>
        <w:ind w:firstLine="567"/>
        <w:jc w:val="both"/>
      </w:pPr>
      <w:r w:rsidRPr="00EA175D">
        <w:rPr>
          <w:iCs/>
        </w:rPr>
        <w:t xml:space="preserve">Експертите от дирекциите/отделите на УО на ОПИК, ОПРЧР и ОПНОИР, определени по подхода ВОМР по компетентност, извършват съответните процедури в изпълнение на подхода, в съответствие с одобрените от ръководителите на УО наръчници за правилата, изискванията и структурата за управление и изпълнение на </w:t>
      </w:r>
      <w:r w:rsidRPr="00EA175D">
        <w:rPr>
          <w:iCs/>
        </w:rPr>
        <w:lastRenderedPageBreak/>
        <w:t>оперативните програми, вкл. мониторинг на напредъка в изпълнение на проектите чрез извършването на проверки на място</w:t>
      </w:r>
    </w:p>
    <w:p w14:paraId="4452AB47" w14:textId="77777777" w:rsidR="00074D6F" w:rsidRPr="00EA175D" w:rsidRDefault="00074D6F" w:rsidP="00EA175D">
      <w:pPr>
        <w:spacing w:line="360" w:lineRule="auto"/>
        <w:ind w:firstLine="567"/>
        <w:jc w:val="both"/>
      </w:pPr>
      <w:r w:rsidRPr="00EA175D">
        <w:t>В Министерство на околната среда и водите отговорен за прилагането на подхода ВОМР е Управляващият орган на ОПОС Главна дирекция „Оперативна програма „Околна среда“. Отговорности за участие в прилагането на подхода по приоритетна ос 3 „НАТУРА 2000 и биоразнообразие“ на ОПОС са възложени на отдел „Програмиране и планиране“, като се подпомага от другите отдели в ГД ОПОС по компетентност. Задачите, свързани с подхода ВОМР се разпределят в рамките на отдела по преценка на началника на отдела в зависимост от натовареността на служителите; отдел „Оценка на проекти и договаряне“, който организира и участва при прегледа и одобрението на проектни предложения по процедури чрез подбор на проекти към стратегии за ВОМР. Конкретните дейности, отговорни структурни звена и срокове са описани в отделни процедури към Процедурен наръчник за ОПОС.</w:t>
      </w:r>
    </w:p>
    <w:p w14:paraId="32819178" w14:textId="77777777" w:rsidR="00074D6F" w:rsidRPr="00EA175D" w:rsidRDefault="00074D6F" w:rsidP="00EA175D">
      <w:pPr>
        <w:spacing w:line="360" w:lineRule="auto"/>
        <w:ind w:firstLine="567"/>
        <w:jc w:val="both"/>
        <w:rPr>
          <w:u w:val="single"/>
        </w:rPr>
      </w:pPr>
      <w:r w:rsidRPr="00EA175D">
        <w:rPr>
          <w:u w:val="single"/>
        </w:rPr>
        <w:t>Държавен фонд „Земеделие“.</w:t>
      </w:r>
    </w:p>
    <w:p w14:paraId="2FB677CB" w14:textId="77777777" w:rsidR="00074D6F" w:rsidRPr="00EA175D" w:rsidRDefault="00074D6F" w:rsidP="00EA175D">
      <w:pPr>
        <w:spacing w:line="360" w:lineRule="auto"/>
        <w:ind w:firstLine="567"/>
        <w:jc w:val="both"/>
      </w:pPr>
      <w:r w:rsidRPr="00EA175D">
        <w:t xml:space="preserve">В структурата на ДФЗ – Разплащателна агенция, дирекция „Договориране по прилагане на мерки за развитие на селските райони“ (ДПМРСР) отговаря за прилагането на мерките от ПРСР, в т. ч. подмярка 19.2 от мярка 19 ВОМР на ПРСР 2014 – 2020 г., съгласно Договор за уреждане на правата и задълженията между Управляващия орган на програмата и ДФЗ-РА във връзка с прилагане на ПРСР 2014 – 2020 г. В дирекцията е обособен отдел „Прилагане на стратегии за водено от общностите местно развитие“ (ПСВОМР) с отговорности за проверка на проекти, включени в извадка в размер на 10 на сто от цялата популация на подадените в срока за прием на конкретната процедура – проверка на спазването на процедурата за избор на проекти към стратегиите за ВОМР по подмярка 19.2, одобряване или неодобряване допустимостта на кандидатите, дейностите и разходите по проектите, предложени от МИГ, извършване на проверка на основателността на предложените разходи, липса на двойно финансиране и изкуствено създадени условия и др. На всички останали проекти извън извадката проверката се извършва от отдел „Договориране по частни мерки” и отдел „Договориране по публични мерки” към дирекция ДПМРСР. На служители от областните дирекции, определени със </w:t>
      </w:r>
      <w:r w:rsidRPr="00EA175D">
        <w:lastRenderedPageBreak/>
        <w:t>заповеди на изпълнителния директор на ДФЗ, са възложени отговорности и проведено обучение за извършване на контрол на проведените процедури за избор на проектни предложения от МИГ по подмярка 19.2 и оценка на проектни предложения по одобрени процедури на МИГ. Осигурен е достъп до ИСУН 2020. Конкретните задължения на служителите от областните дирекции и отдел ПСВОМР са отразени в длъжностни характеристики. Функции по прилагането на подмярка 19.2 са възложени и на дирекция „Оторизация на плащанията по прилагане на мерки за развитие на селските райони“ (ОППМРСР) по ПРСР. Дирекцията отговаря за изпълнение на дейностите по стратегиите за Водено от общностите местно развитие.</w:t>
      </w:r>
    </w:p>
    <w:p w14:paraId="061E805D" w14:textId="77777777" w:rsidR="00074D6F" w:rsidRPr="00EA175D" w:rsidRDefault="00074D6F" w:rsidP="00EA175D">
      <w:pPr>
        <w:spacing w:line="360" w:lineRule="auto"/>
        <w:ind w:firstLine="567"/>
        <w:jc w:val="both"/>
      </w:pPr>
      <w:r w:rsidRPr="00EA175D">
        <w:t xml:space="preserve">При прилагането на еднофондовите стратегии за ВОМР, които са 25 броя местните инициативни групи комуникират с Управляващия орган на ПРСР 2014 – 2020 г. и с Разплащателната агенция, която е Държавен фонд „Земеделие“. Споразуменията за изпълнение на стратегиите за ВОМР на тези МИГ са сключени между УО на ПРСР 2014 – 2020 г. и МИГ. При изпълнението на стратегиите за ВОМР на тези МИГ, бенефициентите с одобрени проектни предложения сключват тристранни договори с МИГ и ДФЗ. </w:t>
      </w:r>
    </w:p>
    <w:p w14:paraId="5B2F2C8D" w14:textId="77777777" w:rsidR="00074D6F" w:rsidRPr="00EA175D" w:rsidRDefault="00074D6F" w:rsidP="00EA175D">
      <w:pPr>
        <w:spacing w:line="360" w:lineRule="auto"/>
        <w:ind w:firstLine="567"/>
        <w:jc w:val="both"/>
      </w:pPr>
      <w:r w:rsidRPr="00EA175D">
        <w:t>Местните инициативни групи, които прилагат стратегии, финансирани от повече от един фонд (многофондови), са 39 на брой и в зависимост от включените в стратегиите им фондове комуникират с УО на ПРСР 2014 – 2020 г. и ДФЗ, както и със съответните управлявщи органи на програми. Споразуменията за изпълнение на стратегиите за ВОМР на тези МИГ са сключени между УО на ПРСР 2014 – 2020 г. и съответните УО на оперативни програми, с включено в стратегията финансиране и МИГ. При изпълнението на стратегиите за ВОМР на тези МИГ, бенефициентите с одобрени проектни предложения сключват тристранни договори с МИГ и ДФЗ, при финансиране от ЕЗФРСР и с МИГ и съответните УО при финансиране от ЕСФ и</w:t>
      </w:r>
      <w:r w:rsidRPr="00F77584">
        <w:rPr>
          <w:lang w:val="ru-RU"/>
        </w:rPr>
        <w:t>/</w:t>
      </w:r>
      <w:r w:rsidRPr="00EA175D">
        <w:t xml:space="preserve">или ЕФРР. </w:t>
      </w:r>
    </w:p>
    <w:p w14:paraId="35F19B3D" w14:textId="77777777" w:rsidR="00823BFC" w:rsidRPr="00EA175D" w:rsidRDefault="00823BFC" w:rsidP="00823BFC">
      <w:pPr>
        <w:spacing w:line="360" w:lineRule="auto"/>
        <w:jc w:val="both"/>
      </w:pPr>
    </w:p>
    <w:p w14:paraId="42F7FDEC" w14:textId="77777777" w:rsidR="00074D6F" w:rsidRPr="00EA175D" w:rsidRDefault="00074D6F" w:rsidP="00EA175D">
      <w:pPr>
        <w:spacing w:line="360" w:lineRule="auto"/>
        <w:ind w:firstLine="567"/>
        <w:jc w:val="both"/>
        <w:rPr>
          <w:b/>
        </w:rPr>
      </w:pPr>
      <w:r w:rsidRPr="00EA175D">
        <w:rPr>
          <w:b/>
        </w:rPr>
        <w:t>Заключение</w:t>
      </w:r>
    </w:p>
    <w:p w14:paraId="3ED51D0D" w14:textId="77777777" w:rsidR="00074D6F" w:rsidRPr="00EA175D" w:rsidRDefault="00074D6F" w:rsidP="00EA175D">
      <w:pPr>
        <w:spacing w:line="360" w:lineRule="auto"/>
        <w:ind w:firstLine="567"/>
        <w:jc w:val="both"/>
      </w:pPr>
      <w:r w:rsidRPr="00EA175D">
        <w:t xml:space="preserve">Прилагането на подхода ВОМР в програмен период 2014 – 2020 г. включва многофондово финансиране, при което управлението на средствата се извършва от 5 </w:t>
      </w:r>
      <w:r w:rsidRPr="00EA175D">
        <w:lastRenderedPageBreak/>
        <w:t>управляващи органа на програми – ПРСР и оперативни програми. Прилагането на подхода в частта на ЕЗФРСР се извършва и от ДФЗ. Към тези институции следва да се добави и дирекция „Централно координационно звено“ на Министерски съвет, която координира работата по ЕСИФ, както и отговаря за Информационната система за управление и наблюдение ИСУН 2020. За координация на взаимодействието на тези 7 институции при прилагането на многофондовите стратегии за ВОМР е изготвено и ПМС № 161 4 юли 2016 г.</w:t>
      </w:r>
    </w:p>
    <w:p w14:paraId="10C85F28" w14:textId="77777777" w:rsidR="00074D6F" w:rsidRPr="00EA175D" w:rsidRDefault="00074D6F" w:rsidP="00EA175D">
      <w:pPr>
        <w:spacing w:line="360" w:lineRule="auto"/>
        <w:ind w:firstLine="567"/>
        <w:jc w:val="both"/>
      </w:pPr>
      <w:r w:rsidRPr="00EA175D">
        <w:t xml:space="preserve">Механизмът за администриране на подхода ВОМР в този програмен период е твърде сложен и тромав. УО на ПРСР 2014 – 2020 г. е отговорен управляващ орган за прилагане на подхода съгласно ПМС № 161 от 2016 г., но той няма различни и по-широки права от останалите управляващи органи на програмите участнички в подхода и това затруднява администрирането на подхода от страна на УО на ПРСР 2014 – 2020 г. Тъй като само ПРСР 2014 -2020 финансира текущите разходи и разходите за популяризиране на стратегиите за ВОМР на МИГ, УО на ПРСР 2014 -2020 има много повече задължения и отговорности при прилагане на подхода ВОМР без това да му дава допълнителни права. </w:t>
      </w:r>
    </w:p>
    <w:p w14:paraId="71F7366E" w14:textId="77777777" w:rsidR="00074D6F" w:rsidRPr="00EA175D" w:rsidRDefault="00074D6F" w:rsidP="00EA175D">
      <w:pPr>
        <w:spacing w:line="360" w:lineRule="auto"/>
        <w:ind w:firstLine="567"/>
        <w:jc w:val="both"/>
      </w:pPr>
      <w:r w:rsidRPr="00EA175D">
        <w:t xml:space="preserve">Отговорният УО за прилагане на подхода ВОМР е УО на ПРСР 2014 – 2020 г. Независимо от многото отговорности, свързани с прилагането на подхода ВОМР числеността на персонала на отдела ВОМР е намалявана няколко пъти. Към момента на извършване на настоящата оценка, в отдела има 3 незаети места, което се отразява на натовареността на работещите служители. </w:t>
      </w:r>
    </w:p>
    <w:p w14:paraId="33EFFCF1" w14:textId="77777777" w:rsidR="00074D6F" w:rsidRPr="00EA175D" w:rsidRDefault="00074D6F" w:rsidP="00EA175D">
      <w:pPr>
        <w:spacing w:line="360" w:lineRule="auto"/>
        <w:ind w:firstLine="567"/>
        <w:jc w:val="both"/>
      </w:pPr>
      <w:r w:rsidRPr="00EA175D">
        <w:t>Създадената структура за прилагане на подхода ВОМР за програмен период 2014 – 2020 г. предполага възникването на трудности в комуникацията и взаимодейстието между отделните отговорни институции, които се отразяват на крайните бенефициенти по подхода. Основно направление на работа следва да бъде значително оптимизиране на включените в структурата на прилагане на подхода ВОМР институции, както и на процеса на взаимодействие между тях.</w:t>
      </w:r>
    </w:p>
    <w:p w14:paraId="18C78172" w14:textId="77777777" w:rsidR="00074D6F" w:rsidRPr="00EA175D" w:rsidRDefault="00074D6F" w:rsidP="00EA175D">
      <w:pPr>
        <w:spacing w:line="360" w:lineRule="auto"/>
        <w:ind w:firstLine="567"/>
        <w:jc w:val="both"/>
      </w:pPr>
      <w:r w:rsidRPr="00EA175D">
        <w:t xml:space="preserve">Анализът показва, че прилагането на подхода ВОМР е доста затруднено за всички участници в подхода поради големия брой нормативни документи, които следва да се </w:t>
      </w:r>
      <w:r w:rsidRPr="00EA175D">
        <w:lastRenderedPageBreak/>
        <w:t>прилагат. Освен това всяка програма участничка в подхода има своите специфични правила за прилагане на програмата, което допълнително затруднява МИГ като звеното, което трябва да прилага всички нормативни документи и всички специфични правила на всяка програма, която е включена в стратегията за ВОМР на МИГ. В тази връзка може да се обобщи, че е наложително опростяване на правилата за прилагане на подхода ВОМР и намаляване на административната тежест за всички заинтересовани страни, работещи по него.</w:t>
      </w:r>
    </w:p>
    <w:p w14:paraId="38BDA85D" w14:textId="77777777" w:rsidR="00F46353" w:rsidRPr="00EA175D" w:rsidRDefault="00F46353" w:rsidP="00EA175D">
      <w:pPr>
        <w:pStyle w:val="1"/>
        <w:numPr>
          <w:ilvl w:val="1"/>
          <w:numId w:val="1"/>
        </w:numPr>
        <w:tabs>
          <w:tab w:val="left" w:pos="993"/>
        </w:tabs>
        <w:spacing w:line="360" w:lineRule="auto"/>
        <w:ind w:left="0" w:firstLine="567"/>
        <w:jc w:val="both"/>
        <w:rPr>
          <w:rFonts w:ascii="Times New Roman" w:hAnsi="Times New Roman" w:cs="Times New Roman"/>
          <w:color w:val="auto"/>
          <w:sz w:val="24"/>
          <w:szCs w:val="24"/>
        </w:rPr>
      </w:pPr>
      <w:bookmarkStart w:id="38" w:name="_Toc93489791"/>
      <w:r w:rsidRPr="00EA175D">
        <w:rPr>
          <w:rFonts w:ascii="Times New Roman" w:hAnsi="Times New Roman" w:cs="Times New Roman"/>
          <w:color w:val="auto"/>
          <w:sz w:val="24"/>
          <w:szCs w:val="24"/>
        </w:rPr>
        <w:t>Оценка на взаимодействието между заинтересованите страни при прилагането на подхода ВОМР. Оценката следва да се фокусира върху ефективността на взаимодействието между всички управляващи органи, участващи в подхода, ДФЗ, МИГ и крайните бенеф</w:t>
      </w:r>
      <w:r w:rsidR="00961092" w:rsidRPr="00EA175D">
        <w:rPr>
          <w:rFonts w:ascii="Times New Roman" w:hAnsi="Times New Roman" w:cs="Times New Roman"/>
          <w:color w:val="auto"/>
          <w:sz w:val="24"/>
          <w:szCs w:val="24"/>
        </w:rPr>
        <w:t>ициенти към стратегиите за ВОМР</w:t>
      </w:r>
      <w:bookmarkEnd w:id="38"/>
    </w:p>
    <w:p w14:paraId="5EF0C93B" w14:textId="77777777" w:rsidR="00F06D0E" w:rsidRPr="00EA175D" w:rsidRDefault="00F06D0E" w:rsidP="00EA175D">
      <w:pPr>
        <w:spacing w:line="360" w:lineRule="auto"/>
        <w:jc w:val="both"/>
      </w:pPr>
      <w:r w:rsidRPr="00EA175D">
        <w:t>На база на анкетното проучване данните сочат следните оценки:</w:t>
      </w:r>
    </w:p>
    <w:p w14:paraId="5664C748" w14:textId="77777777" w:rsidR="00F06D0E" w:rsidRPr="00EA175D" w:rsidRDefault="00F06D0E" w:rsidP="00EA175D">
      <w:pPr>
        <w:spacing w:line="360" w:lineRule="auto"/>
        <w:jc w:val="both"/>
      </w:pPr>
      <w:r w:rsidRPr="00EA175D">
        <w:t>-</w:t>
      </w:r>
      <w:r w:rsidRPr="00EA175D">
        <w:tab/>
        <w:t>Ефективност от взаимодействие с УО на ПРСР- 72% ( оценка 5); 17% (оценка 4);</w:t>
      </w:r>
    </w:p>
    <w:p w14:paraId="733DEFBE" w14:textId="77777777" w:rsidR="00F06D0E" w:rsidRPr="00EA175D" w:rsidRDefault="00F06D0E" w:rsidP="00EA175D">
      <w:pPr>
        <w:spacing w:line="360" w:lineRule="auto"/>
        <w:jc w:val="both"/>
      </w:pPr>
      <w:r w:rsidRPr="00EA175D">
        <w:t>-</w:t>
      </w:r>
      <w:r w:rsidRPr="00EA175D">
        <w:tab/>
        <w:t>Ефективност от взаимодействие с УО на ОПРЧР- 39% ( оценка 5); 16% (оценка 4); не отговорили– 42%;</w:t>
      </w:r>
    </w:p>
    <w:p w14:paraId="2A233D04" w14:textId="77777777" w:rsidR="00F06D0E" w:rsidRPr="00EA175D" w:rsidRDefault="00F06D0E" w:rsidP="00EA175D">
      <w:pPr>
        <w:spacing w:line="360" w:lineRule="auto"/>
        <w:jc w:val="both"/>
      </w:pPr>
      <w:r w:rsidRPr="00EA175D">
        <w:t>-</w:t>
      </w:r>
      <w:r w:rsidRPr="00EA175D">
        <w:tab/>
        <w:t>Ефективност от взаимодействие с УО на ОПИК- 41% ( оценка 5); 12% (оценка 4); не отговорили – 47%;</w:t>
      </w:r>
    </w:p>
    <w:p w14:paraId="24E898FF" w14:textId="77777777" w:rsidR="00F06D0E" w:rsidRPr="00EA175D" w:rsidRDefault="00F06D0E" w:rsidP="00EA175D">
      <w:pPr>
        <w:spacing w:line="360" w:lineRule="auto"/>
        <w:jc w:val="both"/>
      </w:pPr>
      <w:r w:rsidRPr="00EA175D">
        <w:t>-</w:t>
      </w:r>
      <w:r w:rsidRPr="00EA175D">
        <w:tab/>
        <w:t>Ефективност от взаимодействие с УО на ОПНОИР- 19% ( оценка 5); 5% (оценка 4); не отговорили – 76%;</w:t>
      </w:r>
    </w:p>
    <w:p w14:paraId="0A42409D" w14:textId="77777777" w:rsidR="00F06D0E" w:rsidRPr="00EA175D" w:rsidRDefault="00F06D0E" w:rsidP="00EA175D">
      <w:pPr>
        <w:spacing w:line="360" w:lineRule="auto"/>
        <w:jc w:val="both"/>
      </w:pPr>
      <w:r w:rsidRPr="00EA175D">
        <w:t>-</w:t>
      </w:r>
      <w:r w:rsidRPr="00EA175D">
        <w:tab/>
        <w:t>Ефективност от взаимодействие с УО на ОПОС- 9% ( оценка 5); 8% (оценка 4); не отговорили – 79%;</w:t>
      </w:r>
    </w:p>
    <w:p w14:paraId="2AB56F93" w14:textId="77777777" w:rsidR="00F06D0E" w:rsidRPr="00EA175D" w:rsidRDefault="00F06D0E" w:rsidP="00EA175D">
      <w:pPr>
        <w:spacing w:line="360" w:lineRule="auto"/>
        <w:jc w:val="both"/>
      </w:pPr>
      <w:r w:rsidRPr="00EA175D">
        <w:t>-</w:t>
      </w:r>
      <w:r w:rsidRPr="00EA175D">
        <w:tab/>
        <w:t>Ефективност от взаимодействие с ДФЗ - 18% ( оценка 5); 31% (оценка 4); 25% (оценка 3); 9% (оценка 2); 11% ( оценка 1);</w:t>
      </w:r>
    </w:p>
    <w:p w14:paraId="0D861826" w14:textId="77777777" w:rsidR="00F06D0E" w:rsidRPr="00EA175D" w:rsidRDefault="00F06D0E" w:rsidP="00EA175D">
      <w:pPr>
        <w:spacing w:line="360" w:lineRule="auto"/>
        <w:jc w:val="both"/>
      </w:pPr>
      <w:r w:rsidRPr="00EA175D">
        <w:t>-</w:t>
      </w:r>
      <w:r w:rsidRPr="00EA175D">
        <w:tab/>
        <w:t>Ефективност от взаимодействие с Министерски съвет (ИСУН) - 75% ( оценка 5); 14% (оценка 4);</w:t>
      </w:r>
    </w:p>
    <w:p w14:paraId="6C5910B1" w14:textId="77777777" w:rsidR="00F06D0E" w:rsidRPr="00EA175D" w:rsidRDefault="00F06D0E" w:rsidP="00EA175D">
      <w:pPr>
        <w:spacing w:line="360" w:lineRule="auto"/>
        <w:jc w:val="both"/>
      </w:pPr>
      <w:r w:rsidRPr="00EA175D">
        <w:t>-</w:t>
      </w:r>
      <w:r w:rsidRPr="00EA175D">
        <w:tab/>
        <w:t>Кандидати към стратегията за ВОМР – 63% ( оценка 5); 30% (оценка 4);</w:t>
      </w:r>
    </w:p>
    <w:p w14:paraId="2FE23A8E" w14:textId="77777777" w:rsidR="00F06D0E" w:rsidRPr="00EA175D" w:rsidRDefault="00F06D0E" w:rsidP="00EA175D">
      <w:pPr>
        <w:spacing w:line="360" w:lineRule="auto"/>
        <w:jc w:val="both"/>
      </w:pPr>
      <w:r w:rsidRPr="00EA175D">
        <w:t>-</w:t>
      </w:r>
      <w:r w:rsidRPr="00EA175D">
        <w:tab/>
        <w:t>Бенефициенти към стратегията за ВОМР – 73% ( оценка 5); 20% (оценка 4);</w:t>
      </w:r>
    </w:p>
    <w:p w14:paraId="14ED34ED" w14:textId="77777777" w:rsidR="00F06D0E" w:rsidRPr="00EA175D" w:rsidRDefault="00F06D0E" w:rsidP="00EA175D">
      <w:pPr>
        <w:spacing w:line="360" w:lineRule="auto"/>
        <w:jc w:val="both"/>
      </w:pPr>
      <w:r w:rsidRPr="00EA175D">
        <w:lastRenderedPageBreak/>
        <w:t>-</w:t>
      </w:r>
      <w:r w:rsidRPr="00EA175D">
        <w:tab/>
        <w:t>Местна общност – 43% (оценка5); 43% (оценка 4).</w:t>
      </w:r>
    </w:p>
    <w:p w14:paraId="6B142BAE" w14:textId="77777777" w:rsidR="00F06D0E" w:rsidRPr="00EA175D" w:rsidRDefault="00F06D0E" w:rsidP="00EA175D">
      <w:pPr>
        <w:spacing w:line="360" w:lineRule="auto"/>
        <w:jc w:val="both"/>
      </w:pPr>
      <w:r w:rsidRPr="00EA175D">
        <w:t xml:space="preserve">На въпрос №2  - „Необходима ли е промяна в механизма на взаимодействие между заинтересованите страни при прилагане на подхода“, по голяма част от анкетираните считат, че е наложително намаляване на административната тежест. Не са малко анкетираните, които считат, че е необходимо да се подобри комуникацията с ДФЗ. Изказани са мнения за определяне на механизми за работа предвид ситуацията в страната и променените възможности за конкретна работа в регионите. Част от анкетираните счетат, че е наложително да се положат усилия да няма прекъсване в работата на МИГ. Близо 10% от запитаните считат, че няма нужда от конкретни промени. </w:t>
      </w:r>
    </w:p>
    <w:p w14:paraId="7FDCAC44" w14:textId="2854141F" w:rsidR="00F06D0E" w:rsidRPr="00EA175D" w:rsidRDefault="00F06D0E" w:rsidP="00EA175D">
      <w:pPr>
        <w:spacing w:line="360" w:lineRule="auto"/>
        <w:jc w:val="both"/>
      </w:pPr>
      <w:r w:rsidRPr="00EA175D">
        <w:t>Отговорите на въпрос №3 сочат проблемите, които са възниквали при прилагането на подхода ВОМР по отношение на взаимодействие със заинтересованите страни. Основният проблем, които се очертава пред администрацията на МИГ е забавянето на одобрението на проекти от страна на ДФЗ.  Като цяло комуникацията с ДФЗ се очертава, като основен проблем. Част от анкетираните считат, че процесът на подготовка на проекти силно се затруднява от различните правила за работа изисквани от Оперативните програми.</w:t>
      </w:r>
    </w:p>
    <w:p w14:paraId="4FC9A8DC" w14:textId="3C94B431" w:rsidR="00961092" w:rsidRPr="00EA175D" w:rsidRDefault="00F06D0E" w:rsidP="00EA175D">
      <w:pPr>
        <w:spacing w:line="360" w:lineRule="auto"/>
        <w:jc w:val="both"/>
      </w:pPr>
      <w:r w:rsidRPr="00EA175D">
        <w:t>Във връзка с отговора на този въпрос и препоръките за подобряване в бъдеще на дейността по прилагане на подхода ВОМР. Голяма част от анкетираните считат, че е необходима по-добра координация с управляващите органи на съответните програми и съответно на прилагащите. Ключова теза за бъдещото развитие е въпросът за финансовите ресурси с които ще разполагат МИГ. Голяма част от анкетираните считат, че той значително трябва да се увеличи и в същото време да се гарантира независимостта на МИГ при вземане на решения. Част от анкетираните препоръчват да се: децентрализира  процеса на оценяване на проектните предложения; управление по приема и изпълнението на проекти единствено от УО на ПРСР; да се продължи много фондовото финансиране.</w:t>
      </w:r>
    </w:p>
    <w:p w14:paraId="065FD904" w14:textId="77777777" w:rsidR="00F46353" w:rsidRPr="00EA175D" w:rsidRDefault="00F46353" w:rsidP="00EA175D">
      <w:pPr>
        <w:pStyle w:val="1"/>
        <w:numPr>
          <w:ilvl w:val="1"/>
          <w:numId w:val="1"/>
        </w:numPr>
        <w:tabs>
          <w:tab w:val="left" w:pos="993"/>
        </w:tabs>
        <w:spacing w:line="360" w:lineRule="auto"/>
        <w:ind w:left="0" w:firstLine="567"/>
        <w:jc w:val="both"/>
        <w:rPr>
          <w:rFonts w:ascii="Times New Roman" w:hAnsi="Times New Roman" w:cs="Times New Roman"/>
          <w:color w:val="auto"/>
          <w:sz w:val="24"/>
          <w:szCs w:val="24"/>
        </w:rPr>
      </w:pPr>
      <w:bookmarkStart w:id="39" w:name="_Toc93489792"/>
      <w:r w:rsidRPr="00EA175D">
        <w:rPr>
          <w:rFonts w:ascii="Times New Roman" w:hAnsi="Times New Roman" w:cs="Times New Roman"/>
          <w:color w:val="auto"/>
          <w:sz w:val="24"/>
          <w:szCs w:val="24"/>
        </w:rPr>
        <w:lastRenderedPageBreak/>
        <w:t xml:space="preserve">Оценка на административния капацитет на МИГ, включваща окомплектованост на екипите на МИГ и текучество на персонала, структура и представителност на местната общност в управителните </w:t>
      </w:r>
      <w:r w:rsidR="00961092" w:rsidRPr="00EA175D">
        <w:rPr>
          <w:rFonts w:ascii="Times New Roman" w:hAnsi="Times New Roman" w:cs="Times New Roman"/>
          <w:color w:val="auto"/>
          <w:sz w:val="24"/>
          <w:szCs w:val="24"/>
        </w:rPr>
        <w:t>съвети и общите събрания на МИГ</w:t>
      </w:r>
      <w:bookmarkEnd w:id="39"/>
    </w:p>
    <w:p w14:paraId="261520CF" w14:textId="77777777" w:rsidR="00961092" w:rsidRPr="00EA175D" w:rsidRDefault="00A42CF3" w:rsidP="00EA175D">
      <w:pPr>
        <w:spacing w:line="360" w:lineRule="auto"/>
        <w:ind w:firstLine="567"/>
        <w:jc w:val="both"/>
      </w:pPr>
      <w:r w:rsidRPr="00EA175D">
        <w:t>Съгласно чл. 32, пар. 2 от Регламент (ЕС) 1303</w:t>
      </w:r>
      <w:r w:rsidRPr="00F77584">
        <w:rPr>
          <w:lang w:val="ru-RU"/>
        </w:rPr>
        <w:t>/</w:t>
      </w:r>
      <w:r w:rsidRPr="00EA175D">
        <w:t>2013 и чл. 40, ал. 3 на ЗУСЕСИФ, подходът ЛИДЕР и подходът ВОМР се прилага от местни инициативни групи. Съгласно чл. 42, ал. 3 на ЗУСЕСИФ може да се учреди като сдружение по Закона за юридическите лица с нестопанска цел или да определи един от участниците в нея за административен и финансов водещ партньор съгласно чл. 34, параграф 2 от Регламент (ЕС) № 1303/2013, доколкото друго не е предвидено в Споразумението за партньорство за съответния програмен период. Всички местни инициативни групи в България, които изпълняват стратегии за ВОМР</w:t>
      </w:r>
      <w:r w:rsidR="001E5E5A" w:rsidRPr="00EA175D">
        <w:t xml:space="preserve"> са регистрирани </w:t>
      </w:r>
      <w:r w:rsidR="00A715B5" w:rsidRPr="00EA175D">
        <w:t xml:space="preserve">и функционират </w:t>
      </w:r>
      <w:r w:rsidR="001E5E5A" w:rsidRPr="00EA175D">
        <w:t xml:space="preserve">като сдружения </w:t>
      </w:r>
      <w:r w:rsidR="00A715B5" w:rsidRPr="00EA175D">
        <w:t>по ЗЮЛНЦ.</w:t>
      </w:r>
    </w:p>
    <w:p w14:paraId="13985B13" w14:textId="77777777" w:rsidR="00050DDA" w:rsidRPr="00F77584" w:rsidRDefault="00C729B9" w:rsidP="00EA175D">
      <w:pPr>
        <w:spacing w:line="360" w:lineRule="auto"/>
        <w:ind w:firstLine="567"/>
        <w:jc w:val="both"/>
        <w:rPr>
          <w:lang w:val="ru-RU"/>
        </w:rPr>
      </w:pPr>
      <w:r w:rsidRPr="00EA175D">
        <w:t xml:space="preserve">Съгласно ЗЮЛНЦ всяка МИГ има </w:t>
      </w:r>
      <w:r w:rsidR="0016732D" w:rsidRPr="00EA175D">
        <w:t xml:space="preserve">колективен върховен орган или </w:t>
      </w:r>
      <w:r w:rsidRPr="00EA175D">
        <w:t xml:space="preserve">Общо събрание и </w:t>
      </w:r>
      <w:r w:rsidR="0016732D" w:rsidRPr="00EA175D">
        <w:t xml:space="preserve">колективен управителен орган или </w:t>
      </w:r>
      <w:r w:rsidRPr="00EA175D">
        <w:t>Управителен съвет</w:t>
      </w:r>
      <w:r w:rsidR="0016732D" w:rsidRPr="00EA175D">
        <w:t>. Съгласно чл. 32, пар. 2 от Регламент (ЕС) 1303</w:t>
      </w:r>
      <w:r w:rsidR="0016732D" w:rsidRPr="00F77584">
        <w:rPr>
          <w:lang w:val="ru-RU"/>
        </w:rPr>
        <w:t>/</w:t>
      </w:r>
      <w:r w:rsidR="0016732D" w:rsidRPr="00EA175D">
        <w:t>2013 МИГ са „съставени от представители на публичния и частния местен социално-икономически интерес,</w:t>
      </w:r>
      <w:r w:rsidR="00D038E3" w:rsidRPr="00EA175D">
        <w:t xml:space="preserve"> </w:t>
      </w:r>
      <w:r w:rsidR="0016732D" w:rsidRPr="00EA175D">
        <w:t>в които на ниво вземане на решения нито публичните органи, съгласно определението в съответствие с националните правила, нито която и да било от групите, представляващи конкретните заинтересовани страни, не представлява повече от 49 % от правата на глас“. Същото изискване е влязло и в националното законодателство и неговото спазване е условие за допустимост на МИГ, което се следи от Управляващия орган на ПРСР 2014 – 2020 г. За извършване на ежедневната оперативна работа на МИГ тя разполага с екип, изискванията към който са записани в чл. 13, ал. 1</w:t>
      </w:r>
      <w:r w:rsidR="008101AB" w:rsidRPr="00EA175D">
        <w:t>, т. 2</w:t>
      </w:r>
      <w:r w:rsidR="0016732D" w:rsidRPr="00EA175D">
        <w:t xml:space="preserve"> на Наредба № 22 от 14.12.2015 г., съгласно който в екипите на МИГ задължително следва да има изпълнителен директор и екперт по прилагане на стратегията за ВОМР. </w:t>
      </w:r>
      <w:r w:rsidR="008101AB" w:rsidRPr="00EA175D">
        <w:t>В ал. 3 и ал. 4 на същия член на Наредба № 22 от 14.12.2015 г. са записани и изисквания към изпълнителния директор и експерта по ВОМР на МИГ. За директора те са завършено висше образование, най-малко степен „бакалавър“; професионален стаж най-малко 5 години; управленски опит (</w:t>
      </w:r>
      <w:r w:rsidR="008101AB" w:rsidRPr="00EA175D">
        <w:rPr>
          <w:lang w:val="x-none"/>
        </w:rPr>
        <w:t>опит в управлението на юридическо лице или на ръководна длъжност в администрацията</w:t>
      </w:r>
      <w:r w:rsidR="008101AB" w:rsidRPr="00EA175D">
        <w:t xml:space="preserve">) най-малко две години; </w:t>
      </w:r>
      <w:r w:rsidR="008101AB" w:rsidRPr="00EA175D">
        <w:lastRenderedPageBreak/>
        <w:t>опит в реализиране на проект, програма или стратегия със стойност над 100 хиляди лева, финансирани от ЕС или от други международни донори.</w:t>
      </w:r>
      <w:r w:rsidR="000F4E4C" w:rsidRPr="00EA175D">
        <w:t xml:space="preserve"> В ал. 5 и 6 на същия член са описани и възможностите за наемане и на други служители, извън задължителните, както и изискванията към тях.</w:t>
      </w:r>
    </w:p>
    <w:p w14:paraId="56EAB261" w14:textId="77777777" w:rsidR="00C729B9" w:rsidRPr="00EA175D" w:rsidRDefault="00050DDA" w:rsidP="00EA175D">
      <w:pPr>
        <w:spacing w:line="360" w:lineRule="auto"/>
        <w:ind w:firstLine="567"/>
        <w:jc w:val="both"/>
      </w:pPr>
      <w:r w:rsidRPr="00EA175D">
        <w:t xml:space="preserve">За извършване на настоящата оценка екипът на Изпълнителя събра актуална информация относно съставите на общите събрания и управителните съвети на всички МИГ в България, които изпълняват стратегии за ВОМР. Информацията е групирана и съпоставена с изискванията на европейското и националното законодателство, като по този начин се </w:t>
      </w:r>
      <w:r w:rsidR="00DF2D7F" w:rsidRPr="00EA175D">
        <w:t xml:space="preserve">цели </w:t>
      </w:r>
      <w:r w:rsidR="006716A7" w:rsidRPr="00EA175D">
        <w:t xml:space="preserve">да се провери фактическото съответствие на МИГ с тези изисквания. Също така, се цели извличането на информация относно участието на трите основни сектора (публичен, </w:t>
      </w:r>
      <w:r w:rsidR="00492D0B" w:rsidRPr="00EA175D">
        <w:t xml:space="preserve">стопански и </w:t>
      </w:r>
      <w:r w:rsidR="006716A7" w:rsidRPr="00EA175D">
        <w:t>не</w:t>
      </w:r>
      <w:r w:rsidR="004E087C" w:rsidRPr="00EA175D">
        <w:t>стопански</w:t>
      </w:r>
      <w:r w:rsidR="006716A7" w:rsidRPr="00EA175D">
        <w:t xml:space="preserve">) в МИГ, както и участието на жени в техните органи. </w:t>
      </w:r>
    </w:p>
    <w:p w14:paraId="04CA2236" w14:textId="77777777" w:rsidR="00050DDA" w:rsidRPr="00EA175D" w:rsidRDefault="00050DDA" w:rsidP="00EA175D">
      <w:pPr>
        <w:spacing w:line="360" w:lineRule="auto"/>
        <w:ind w:firstLine="567"/>
        <w:jc w:val="both"/>
      </w:pPr>
    </w:p>
    <w:p w14:paraId="598F2577" w14:textId="77777777" w:rsidR="001A7DB7" w:rsidRPr="00EA175D" w:rsidRDefault="00624ACA" w:rsidP="00EA175D">
      <w:pPr>
        <w:spacing w:line="360" w:lineRule="auto"/>
        <w:ind w:firstLine="567"/>
        <w:jc w:val="both"/>
        <w:rPr>
          <w:b/>
          <w:u w:val="single"/>
        </w:rPr>
      </w:pPr>
      <w:r w:rsidRPr="00EA175D">
        <w:rPr>
          <w:b/>
          <w:u w:val="single"/>
        </w:rPr>
        <w:t>Състав на общите събрания на МИГ</w:t>
      </w:r>
    </w:p>
    <w:p w14:paraId="639D3ABE" w14:textId="77777777" w:rsidR="00DD2ECF" w:rsidRPr="00EA175D" w:rsidRDefault="00DD2ECF" w:rsidP="00EA175D">
      <w:pPr>
        <w:spacing w:line="360" w:lineRule="auto"/>
        <w:ind w:firstLine="567"/>
        <w:jc w:val="both"/>
      </w:pPr>
      <w:r w:rsidRPr="00EA175D">
        <w:t>Съгласно чл.</w:t>
      </w:r>
      <w:r w:rsidR="004B0BE3" w:rsidRPr="00EA175D">
        <w:t xml:space="preserve"> 23, ал. 1</w:t>
      </w:r>
      <w:r w:rsidRPr="00EA175D">
        <w:t xml:space="preserve"> на ЗЮЛНЦ общото </w:t>
      </w:r>
      <w:r w:rsidR="004B0BE3" w:rsidRPr="00EA175D">
        <w:t>събрание е</w:t>
      </w:r>
      <w:r w:rsidRPr="00EA175D">
        <w:t xml:space="preserve"> </w:t>
      </w:r>
      <w:r w:rsidR="004B0BE3" w:rsidRPr="00EA175D">
        <w:t>Върховен орган на сдружението.</w:t>
      </w:r>
      <w:r w:rsidR="009E0BE5" w:rsidRPr="00EA175D">
        <w:t xml:space="preserve"> Съгласно чл. 24 на ЗЮЛНЦ, общото събрание се състои от всички членове на сдружението, освен ако в устава е предвидено друго.</w:t>
      </w:r>
    </w:p>
    <w:p w14:paraId="21E3762C" w14:textId="77777777" w:rsidR="00624ACA" w:rsidRPr="00EA175D" w:rsidRDefault="00624ACA" w:rsidP="00EA175D">
      <w:pPr>
        <w:spacing w:line="360" w:lineRule="auto"/>
        <w:ind w:firstLine="567"/>
        <w:jc w:val="both"/>
      </w:pPr>
      <w:r w:rsidRPr="00EA175D">
        <w:t>За проучването е събрана информация за членовете на всички колективни върховни органи (общи събрания) на МИГ, изпълняващи стратегии за ВОМР</w:t>
      </w:r>
      <w:r w:rsidR="00C833A4" w:rsidRPr="00EA175D">
        <w:t xml:space="preserve"> към 31.12.2020 г</w:t>
      </w:r>
      <w:r w:rsidRPr="00EA175D">
        <w:t>.</w:t>
      </w:r>
    </w:p>
    <w:p w14:paraId="2E394616" w14:textId="2FD187DB" w:rsidR="003504C9" w:rsidRPr="00EA175D" w:rsidRDefault="00DC0B79" w:rsidP="00EA175D">
      <w:pPr>
        <w:spacing w:line="360" w:lineRule="auto"/>
        <w:ind w:firstLine="567"/>
        <w:jc w:val="both"/>
      </w:pPr>
      <w:r w:rsidRPr="00EA175D">
        <w:t>В общите събрания на всички МИГ членуват общо 2 759 души</w:t>
      </w:r>
      <w:r w:rsidR="004609C3" w:rsidRPr="00EA175D">
        <w:t>. Средноаритметичният брой на членовете на общо събрание на МИГ е</w:t>
      </w:r>
      <w:r w:rsidRPr="00EA175D">
        <w:t xml:space="preserve"> 43</w:t>
      </w:r>
      <w:r w:rsidR="004609C3" w:rsidRPr="00EA175D">
        <w:t xml:space="preserve"> души</w:t>
      </w:r>
      <w:r w:rsidRPr="00EA175D">
        <w:t xml:space="preserve">. </w:t>
      </w:r>
      <w:r w:rsidR="003C4D63" w:rsidRPr="00EA175D">
        <w:t>С най-голям брой членове на общото събрание е МИГ „Ардино – Дежебел“ – 112 души, следвана от МИГ „Общини Момчилград и Крумовград“ – със 100 души, които членуват в общото</w:t>
      </w:r>
      <w:r w:rsidR="00033510">
        <w:t xml:space="preserve"> </w:t>
      </w:r>
      <w:r w:rsidR="003C4D63" w:rsidRPr="00EA175D">
        <w:t>събрание. Най-малко по численост е общното събрание на МИГ „Любимец – Ивайловград“ – с 11, като следват общите събрания на МИГ „Поморие“ и МИГ „Свиленград ареал“ – с членски състав от по 15 души.</w:t>
      </w:r>
    </w:p>
    <w:p w14:paraId="66427422" w14:textId="119C8006" w:rsidR="00C26BF7" w:rsidRDefault="00C26BF7" w:rsidP="00EA175D">
      <w:pPr>
        <w:spacing w:line="360" w:lineRule="auto"/>
        <w:ind w:firstLine="567"/>
        <w:jc w:val="both"/>
      </w:pPr>
    </w:p>
    <w:p w14:paraId="3BE812EA" w14:textId="77777777" w:rsidR="00B00E7A" w:rsidRPr="00EA175D" w:rsidRDefault="00B00E7A" w:rsidP="00EA175D">
      <w:pPr>
        <w:spacing w:line="360" w:lineRule="auto"/>
        <w:ind w:firstLine="567"/>
        <w:jc w:val="both"/>
      </w:pPr>
    </w:p>
    <w:p w14:paraId="1E6E3AC2" w14:textId="77777777" w:rsidR="00C26BF7" w:rsidRPr="00EA175D" w:rsidRDefault="00C26BF7" w:rsidP="00EA175D">
      <w:pPr>
        <w:spacing w:line="360" w:lineRule="auto"/>
        <w:ind w:firstLine="567"/>
        <w:jc w:val="both"/>
      </w:pPr>
      <w:r w:rsidRPr="00EA175D">
        <w:t>Графика. Брой членове в ОС на МИГ.</w:t>
      </w:r>
    </w:p>
    <w:p w14:paraId="05D0E85E" w14:textId="77777777" w:rsidR="00C26BF7" w:rsidRPr="00EA175D" w:rsidRDefault="00F056BE" w:rsidP="00EA175D">
      <w:pPr>
        <w:spacing w:line="360" w:lineRule="auto"/>
        <w:jc w:val="both"/>
      </w:pPr>
      <w:r w:rsidRPr="00EA175D">
        <w:rPr>
          <w:lang w:val="it-IT" w:eastAsia="it-IT"/>
        </w:rPr>
        <w:lastRenderedPageBreak/>
        <w:drawing>
          <wp:inline distT="0" distB="0" distL="0" distR="0" wp14:anchorId="54FE7447" wp14:editId="5F712853">
            <wp:extent cx="5547360" cy="7498080"/>
            <wp:effectExtent l="0" t="0" r="15240" b="762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3A6F00FE" w14:textId="77777777" w:rsidR="00C26BF7" w:rsidRPr="00EA175D" w:rsidRDefault="00C26BF7" w:rsidP="00EA175D">
      <w:pPr>
        <w:spacing w:line="360" w:lineRule="auto"/>
        <w:ind w:firstLine="567"/>
        <w:jc w:val="both"/>
      </w:pPr>
    </w:p>
    <w:p w14:paraId="4F85D582" w14:textId="77777777" w:rsidR="00C26BF7" w:rsidRPr="00EA175D" w:rsidRDefault="00C26BF7" w:rsidP="00EA175D">
      <w:pPr>
        <w:spacing w:line="360" w:lineRule="auto"/>
        <w:ind w:firstLine="567"/>
        <w:jc w:val="both"/>
      </w:pPr>
    </w:p>
    <w:p w14:paraId="5C5CAFC5" w14:textId="77777777" w:rsidR="003C4D63" w:rsidRPr="00EA175D" w:rsidRDefault="00492D0B" w:rsidP="00EA175D">
      <w:pPr>
        <w:spacing w:line="360" w:lineRule="auto"/>
        <w:ind w:firstLine="567"/>
        <w:jc w:val="both"/>
      </w:pPr>
      <w:r w:rsidRPr="00EA175D">
        <w:t>Представеността на отделните сектори в общите събрания е както следва:</w:t>
      </w:r>
    </w:p>
    <w:p w14:paraId="6AD006B5" w14:textId="77777777" w:rsidR="00492D0B" w:rsidRPr="00EA175D" w:rsidRDefault="00492D0B" w:rsidP="00EA175D">
      <w:pPr>
        <w:pStyle w:val="ab"/>
        <w:numPr>
          <w:ilvl w:val="0"/>
          <w:numId w:val="4"/>
        </w:numPr>
        <w:spacing w:line="360" w:lineRule="auto"/>
        <w:jc w:val="both"/>
      </w:pPr>
      <w:r w:rsidRPr="00EA175D">
        <w:t>Публичният сектор е представен от общо 166 души, или средно 2,6 души на МИГ, което представлява сред</w:t>
      </w:r>
      <w:r w:rsidR="004E087C" w:rsidRPr="00EA175D">
        <w:t>е</w:t>
      </w:r>
      <w:r w:rsidRPr="00EA175D">
        <w:t>н</w:t>
      </w:r>
      <w:r w:rsidR="004E087C" w:rsidRPr="00EA175D">
        <w:t xml:space="preserve"> дял на този сектор от</w:t>
      </w:r>
      <w:r w:rsidRPr="00EA175D">
        <w:t xml:space="preserve"> 6,43% от състава на общото събрание.</w:t>
      </w:r>
    </w:p>
    <w:p w14:paraId="499E4E68" w14:textId="77777777" w:rsidR="00492D0B" w:rsidRPr="00EA175D" w:rsidRDefault="00492D0B" w:rsidP="00EA175D">
      <w:pPr>
        <w:pStyle w:val="ab"/>
        <w:numPr>
          <w:ilvl w:val="0"/>
          <w:numId w:val="4"/>
        </w:numPr>
        <w:spacing w:line="360" w:lineRule="auto"/>
        <w:jc w:val="both"/>
      </w:pPr>
      <w:r w:rsidRPr="00EA175D">
        <w:t xml:space="preserve">Стопанският сектор е представен от общо 1 298 души, </w:t>
      </w:r>
      <w:r w:rsidR="004E087C" w:rsidRPr="00EA175D">
        <w:t>или средно 20 души за всяка МИГ, което представлява среден дял на този сектор от 46,93% от състава на общото събрание.</w:t>
      </w:r>
    </w:p>
    <w:p w14:paraId="5932C0F9" w14:textId="77777777" w:rsidR="004E087C" w:rsidRPr="00EA175D" w:rsidRDefault="004E087C" w:rsidP="00EA175D">
      <w:pPr>
        <w:pStyle w:val="ab"/>
        <w:numPr>
          <w:ilvl w:val="0"/>
          <w:numId w:val="4"/>
        </w:numPr>
        <w:spacing w:line="360" w:lineRule="auto"/>
        <w:jc w:val="both"/>
      </w:pPr>
      <w:r w:rsidRPr="00EA175D">
        <w:t xml:space="preserve">Нестопанският сектор е представен от общо 1 295 души, или средно 20 души за всяка МИГ, </w:t>
      </w:r>
      <w:r w:rsidR="00E72EC5" w:rsidRPr="00EA175D">
        <w:t>което представлява среден дял на този сектор от 46,64% от състава на общото събрание.</w:t>
      </w:r>
    </w:p>
    <w:p w14:paraId="0B21FE75" w14:textId="77777777" w:rsidR="00C833A4" w:rsidRPr="00EA175D" w:rsidRDefault="00C833A4" w:rsidP="00EA175D">
      <w:pPr>
        <w:spacing w:line="360" w:lineRule="auto"/>
        <w:ind w:firstLine="567"/>
        <w:jc w:val="both"/>
      </w:pPr>
    </w:p>
    <w:p w14:paraId="322B747E" w14:textId="77777777" w:rsidR="004E087C" w:rsidRPr="00EA175D" w:rsidRDefault="004E087C" w:rsidP="00EA175D">
      <w:pPr>
        <w:spacing w:line="360" w:lineRule="auto"/>
        <w:ind w:firstLine="567"/>
        <w:jc w:val="both"/>
      </w:pPr>
      <w:r w:rsidRPr="00EA175D">
        <w:t>Графика</w:t>
      </w:r>
      <w:r w:rsidR="00C26BF7" w:rsidRPr="00EA175D">
        <w:t>. Дялово разпределение на секторите в МИГ.</w:t>
      </w:r>
      <w:r w:rsidRPr="00EA175D">
        <w:t xml:space="preserve"> </w:t>
      </w:r>
    </w:p>
    <w:p w14:paraId="4820E322" w14:textId="77777777" w:rsidR="004E087C" w:rsidRPr="00EA175D" w:rsidRDefault="008E1C08" w:rsidP="00EA175D">
      <w:pPr>
        <w:spacing w:line="360" w:lineRule="auto"/>
        <w:ind w:firstLine="567"/>
        <w:jc w:val="both"/>
      </w:pPr>
      <w:r w:rsidRPr="00EA175D">
        <w:rPr>
          <w:lang w:val="it-IT" w:eastAsia="it-IT"/>
        </w:rPr>
        <w:drawing>
          <wp:inline distT="0" distB="0" distL="0" distR="0" wp14:anchorId="143263CF" wp14:editId="6C2BBA16">
            <wp:extent cx="4476750" cy="3190875"/>
            <wp:effectExtent l="0" t="0" r="19050" b="9525"/>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30B675A1" w14:textId="77777777" w:rsidR="00700605" w:rsidRPr="00EA175D" w:rsidRDefault="00700605" w:rsidP="00EA175D">
      <w:pPr>
        <w:spacing w:line="360" w:lineRule="auto"/>
        <w:ind w:firstLine="567"/>
        <w:jc w:val="both"/>
      </w:pPr>
    </w:p>
    <w:p w14:paraId="62CB7901" w14:textId="0FA20290" w:rsidR="00700605" w:rsidRPr="00EA175D" w:rsidRDefault="00700605" w:rsidP="00EA175D">
      <w:pPr>
        <w:spacing w:line="360" w:lineRule="auto"/>
        <w:ind w:firstLine="567"/>
        <w:jc w:val="both"/>
      </w:pPr>
      <w:r w:rsidRPr="00EA175D">
        <w:lastRenderedPageBreak/>
        <w:t xml:space="preserve">Разпределението на основните сектори в общите събрания на всички 64 МИГ, изпълняващи стратегии за ВОМР е съобразено с изискванията на европейското и националното законодателство, касаещо прилагането на подхода ВОМР. Съгласно горната графика средно в колективния върховен орган на МИГ </w:t>
      </w:r>
      <w:r w:rsidR="00D038E3" w:rsidRPr="00EA175D">
        <w:t>делът на публичния сектор е 6,43%, делът на стопанския сектор е 46,93% и делът на нестопанския сектор е 46,64%. При тези разпределения е спазено основото изискване на Регламент (ЕС) 1303</w:t>
      </w:r>
      <w:r w:rsidR="00D038E3" w:rsidRPr="00F77584">
        <w:rPr>
          <w:lang w:val="ru-RU"/>
        </w:rPr>
        <w:t>/2013</w:t>
      </w:r>
      <w:r w:rsidR="00D038E3" w:rsidRPr="00EA175D">
        <w:t xml:space="preserve">, а именно, че </w:t>
      </w:r>
      <w:r w:rsidR="00D038E3" w:rsidRPr="00F77584">
        <w:rPr>
          <w:lang w:val="ru-RU"/>
        </w:rPr>
        <w:t>ко</w:t>
      </w:r>
      <w:r w:rsidR="00D038E3" w:rsidRPr="00EA175D">
        <w:t>й</w:t>
      </w:r>
      <w:r w:rsidR="00D038E3" w:rsidRPr="00F77584">
        <w:rPr>
          <w:lang w:val="ru-RU"/>
        </w:rPr>
        <w:t xml:space="preserve">то и да било от </w:t>
      </w:r>
      <w:r w:rsidR="00D038E3" w:rsidRPr="00EA175D">
        <w:t>секторите</w:t>
      </w:r>
      <w:r w:rsidR="00D038E3" w:rsidRPr="00F77584">
        <w:rPr>
          <w:lang w:val="ru-RU"/>
        </w:rPr>
        <w:t>, не представлява повече от 49 % от правата на глас</w:t>
      </w:r>
      <w:r w:rsidR="00D038E3" w:rsidRPr="00EA175D">
        <w:t xml:space="preserve">. Същото изискване е спазено за всички МИГ, като подробна информация относно броят на представителите на всеки сектор и дяловото им разпределение по МИГ е представено в </w:t>
      </w:r>
      <w:r w:rsidR="00D038E3" w:rsidRPr="00EA175D">
        <w:rPr>
          <w:b/>
          <w:bCs/>
        </w:rPr>
        <w:t xml:space="preserve">Приложение № </w:t>
      </w:r>
      <w:r w:rsidR="001369B6" w:rsidRPr="00EA175D">
        <w:rPr>
          <w:b/>
          <w:bCs/>
        </w:rPr>
        <w:t>7</w:t>
      </w:r>
      <w:r w:rsidR="00D038E3" w:rsidRPr="00EA175D">
        <w:t xml:space="preserve"> към настоящото проучване. </w:t>
      </w:r>
    </w:p>
    <w:p w14:paraId="385D00C6" w14:textId="43BEFF1E" w:rsidR="00134844" w:rsidRPr="00EA175D" w:rsidRDefault="00134844" w:rsidP="00EA175D">
      <w:pPr>
        <w:spacing w:line="360" w:lineRule="auto"/>
        <w:jc w:val="both"/>
      </w:pPr>
    </w:p>
    <w:p w14:paraId="62F38817" w14:textId="77777777" w:rsidR="009558CE" w:rsidRPr="00EA175D" w:rsidRDefault="009558CE" w:rsidP="00EA175D">
      <w:pPr>
        <w:spacing w:line="360" w:lineRule="auto"/>
        <w:ind w:firstLine="567"/>
        <w:jc w:val="both"/>
      </w:pPr>
    </w:p>
    <w:p w14:paraId="33B8C43B" w14:textId="77777777" w:rsidR="009558CE" w:rsidRPr="00F77584" w:rsidRDefault="009558CE" w:rsidP="00EA175D">
      <w:pPr>
        <w:spacing w:line="360" w:lineRule="auto"/>
        <w:ind w:firstLine="567"/>
        <w:jc w:val="both"/>
        <w:rPr>
          <w:b/>
          <w:u w:val="single"/>
          <w:lang w:val="ru-RU"/>
        </w:rPr>
      </w:pPr>
      <w:r w:rsidRPr="00EA175D">
        <w:rPr>
          <w:b/>
          <w:u w:val="single"/>
        </w:rPr>
        <w:t>Състав на управителните съвети на МИГ</w:t>
      </w:r>
    </w:p>
    <w:p w14:paraId="524CD829" w14:textId="3A793742" w:rsidR="009558CE" w:rsidRPr="00EA175D" w:rsidRDefault="009558CE" w:rsidP="00EA175D">
      <w:pPr>
        <w:spacing w:line="360" w:lineRule="auto"/>
        <w:ind w:firstLine="567"/>
        <w:jc w:val="both"/>
      </w:pPr>
      <w:r w:rsidRPr="00F77584">
        <w:rPr>
          <w:lang w:val="ru-RU"/>
        </w:rPr>
        <w:t>Съгласно чл</w:t>
      </w:r>
      <w:r w:rsidR="000D00F9" w:rsidRPr="00EA175D">
        <w:t>. 23, ал. 2</w:t>
      </w:r>
      <w:r w:rsidRPr="00F77584">
        <w:rPr>
          <w:lang w:val="ru-RU"/>
        </w:rPr>
        <w:t xml:space="preserve"> на ЗЮЛНЦ </w:t>
      </w:r>
      <w:r w:rsidRPr="00EA175D">
        <w:t>управителният съвет</w:t>
      </w:r>
      <w:r w:rsidRPr="00F77584">
        <w:rPr>
          <w:lang w:val="ru-RU"/>
        </w:rPr>
        <w:t xml:space="preserve"> е </w:t>
      </w:r>
      <w:r w:rsidR="00033510">
        <w:t xml:space="preserve">колективен </w:t>
      </w:r>
      <w:r w:rsidR="00E6355D" w:rsidRPr="00EA175D">
        <w:t>у</w:t>
      </w:r>
      <w:r w:rsidR="00E6355D" w:rsidRPr="00F77584">
        <w:rPr>
          <w:lang w:val="ru-RU"/>
        </w:rPr>
        <w:t>правителен орган на сдружението.</w:t>
      </w:r>
      <w:r w:rsidR="0086755A" w:rsidRPr="00EA175D">
        <w:t xml:space="preserve"> </w:t>
      </w:r>
      <w:r w:rsidR="00CE5173" w:rsidRPr="00EA175D">
        <w:t>Съгласно</w:t>
      </w:r>
      <w:r w:rsidR="001369B6" w:rsidRPr="00EA175D">
        <w:t xml:space="preserve"> изискванията на Наредба №22/14.12.2015г., управителните съвети се състоят от </w:t>
      </w:r>
      <w:r w:rsidR="00033510">
        <w:t xml:space="preserve">най-малко </w:t>
      </w:r>
      <w:r w:rsidR="001369B6" w:rsidRPr="00EA175D">
        <w:t xml:space="preserve">5 лица - </w:t>
      </w:r>
      <w:r w:rsidR="00CE5173" w:rsidRPr="00EA175D">
        <w:t xml:space="preserve"> членове на сдружението. Управителният съвет избира от своя състав председател. По решение на общото събрание функциите на управителен съвет могат да се изпълняват и от едно лице – управител. </w:t>
      </w:r>
    </w:p>
    <w:p w14:paraId="690D76BB" w14:textId="1829C8D8" w:rsidR="009558CE" w:rsidRPr="00EA175D" w:rsidRDefault="009558CE" w:rsidP="00EA175D">
      <w:pPr>
        <w:spacing w:line="360" w:lineRule="auto"/>
        <w:ind w:firstLine="567"/>
        <w:jc w:val="both"/>
      </w:pPr>
      <w:r w:rsidRPr="00F77584">
        <w:rPr>
          <w:lang w:val="ru-RU"/>
        </w:rPr>
        <w:t xml:space="preserve">За проучването е събрана информация за членовете на всички колективни </w:t>
      </w:r>
      <w:r w:rsidRPr="00EA175D">
        <w:t>управителни</w:t>
      </w:r>
      <w:r w:rsidRPr="00F77584">
        <w:rPr>
          <w:lang w:val="ru-RU"/>
        </w:rPr>
        <w:t xml:space="preserve"> органи (</w:t>
      </w:r>
      <w:r w:rsidRPr="00EA175D">
        <w:t>упр</w:t>
      </w:r>
      <w:r w:rsidR="004F7A65">
        <w:t>а</w:t>
      </w:r>
      <w:r w:rsidRPr="00EA175D">
        <w:t>в</w:t>
      </w:r>
      <w:r w:rsidR="004F7A65">
        <w:t>и</w:t>
      </w:r>
      <w:r w:rsidRPr="00EA175D">
        <w:t>телни съвети</w:t>
      </w:r>
      <w:r w:rsidRPr="00F77584">
        <w:rPr>
          <w:lang w:val="ru-RU"/>
        </w:rPr>
        <w:t>) на МИГ, изпълняващи стратегии за ВОМР към 31.12.2020 г.</w:t>
      </w:r>
    </w:p>
    <w:p w14:paraId="4490DBF8" w14:textId="77777777" w:rsidR="009558CE" w:rsidRPr="00EA175D" w:rsidRDefault="009558CE" w:rsidP="00EA175D">
      <w:pPr>
        <w:spacing w:line="360" w:lineRule="auto"/>
        <w:ind w:firstLine="567"/>
        <w:jc w:val="both"/>
      </w:pPr>
      <w:r w:rsidRPr="00EA175D">
        <w:t>В управителните съвети на всички МИГ членуват общо 414 души. Средноаритметичният брой на членовете на управителен съвет МИГ е 6,5 души. 28 МИГ имат управителни съвет с по 5 члена, 25 МИГ имат управителни съвети с по 7 члена и останалите 11 МИГ са с управителни съвети с по 9 члена.</w:t>
      </w:r>
    </w:p>
    <w:p w14:paraId="0453927D" w14:textId="77777777" w:rsidR="00667624" w:rsidRPr="00EA175D" w:rsidRDefault="00667624" w:rsidP="00EA175D">
      <w:pPr>
        <w:spacing w:line="360" w:lineRule="auto"/>
        <w:ind w:firstLine="567"/>
        <w:jc w:val="both"/>
      </w:pPr>
    </w:p>
    <w:p w14:paraId="15276D46" w14:textId="77777777" w:rsidR="00667624" w:rsidRPr="00F77584" w:rsidRDefault="00667624" w:rsidP="00EA175D">
      <w:pPr>
        <w:spacing w:line="360" w:lineRule="auto"/>
        <w:ind w:firstLine="567"/>
        <w:jc w:val="both"/>
        <w:rPr>
          <w:lang w:val="ru-RU"/>
        </w:rPr>
      </w:pPr>
      <w:r w:rsidRPr="00EA175D">
        <w:t>Графика. Брой членове в УС на МИГ.</w:t>
      </w:r>
    </w:p>
    <w:p w14:paraId="2497E22F" w14:textId="77777777" w:rsidR="009558CE" w:rsidRPr="00EA175D" w:rsidRDefault="00C77BD9" w:rsidP="00EA175D">
      <w:pPr>
        <w:spacing w:line="360" w:lineRule="auto"/>
        <w:ind w:firstLine="567"/>
        <w:jc w:val="both"/>
      </w:pPr>
      <w:r w:rsidRPr="00EA175D">
        <w:rPr>
          <w:lang w:val="it-IT" w:eastAsia="it-IT"/>
        </w:rPr>
        <w:lastRenderedPageBreak/>
        <w:drawing>
          <wp:inline distT="0" distB="0" distL="0" distR="0" wp14:anchorId="648EDF8B" wp14:editId="17B0FE7A">
            <wp:extent cx="5006340" cy="7612380"/>
            <wp:effectExtent l="0" t="0" r="3810" b="762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71CCF10C" w14:textId="77777777" w:rsidR="008C2F6E" w:rsidRPr="00EA175D" w:rsidRDefault="008C2F6E" w:rsidP="00EA175D">
      <w:pPr>
        <w:spacing w:line="360" w:lineRule="auto"/>
        <w:ind w:firstLine="567"/>
        <w:jc w:val="both"/>
      </w:pPr>
    </w:p>
    <w:p w14:paraId="5E48609A" w14:textId="77777777" w:rsidR="008C2F6E" w:rsidRPr="00EA175D" w:rsidRDefault="008C2F6E" w:rsidP="00EA175D">
      <w:pPr>
        <w:spacing w:line="360" w:lineRule="auto"/>
        <w:ind w:firstLine="567"/>
        <w:jc w:val="both"/>
      </w:pPr>
    </w:p>
    <w:p w14:paraId="19AEEEE8" w14:textId="77777777" w:rsidR="009558CE" w:rsidRPr="00EA175D" w:rsidRDefault="009558CE" w:rsidP="00EA175D">
      <w:pPr>
        <w:spacing w:line="360" w:lineRule="auto"/>
        <w:ind w:firstLine="567"/>
        <w:jc w:val="both"/>
      </w:pPr>
    </w:p>
    <w:p w14:paraId="670FF087" w14:textId="77777777" w:rsidR="008C2F6E" w:rsidRPr="00EA175D" w:rsidRDefault="008C2F6E" w:rsidP="00EA175D">
      <w:pPr>
        <w:spacing w:line="360" w:lineRule="auto"/>
        <w:ind w:firstLine="567"/>
        <w:jc w:val="both"/>
      </w:pPr>
      <w:r w:rsidRPr="00EA175D">
        <w:t>Представеността на отделните сектори в управителните съвети е както следва:</w:t>
      </w:r>
    </w:p>
    <w:p w14:paraId="698B585C" w14:textId="77777777" w:rsidR="008C2F6E" w:rsidRPr="00EA175D" w:rsidRDefault="008C2F6E" w:rsidP="00EA175D">
      <w:pPr>
        <w:pStyle w:val="ab"/>
        <w:numPr>
          <w:ilvl w:val="0"/>
          <w:numId w:val="4"/>
        </w:numPr>
        <w:spacing w:line="360" w:lineRule="auto"/>
        <w:jc w:val="both"/>
      </w:pPr>
      <w:r w:rsidRPr="00EA175D">
        <w:t>Публичният сектор е представен от общо 101 души, или средно 1,6 души на МИГ, което представлява среден дял на този сектор от 24% от състава на управителния съвет.</w:t>
      </w:r>
    </w:p>
    <w:p w14:paraId="21C9C227" w14:textId="77777777" w:rsidR="008C2F6E" w:rsidRPr="00EA175D" w:rsidRDefault="008C2F6E" w:rsidP="00EA175D">
      <w:pPr>
        <w:pStyle w:val="ab"/>
        <w:numPr>
          <w:ilvl w:val="0"/>
          <w:numId w:val="4"/>
        </w:numPr>
        <w:spacing w:line="360" w:lineRule="auto"/>
        <w:jc w:val="both"/>
      </w:pPr>
      <w:r w:rsidRPr="00EA175D">
        <w:t>Стопанският сектор е представен от общо 161 души, или средно 2,5 души за всяка МИГ, което представлява среден дял на този сектор от 39% от състава на управителния съвет.</w:t>
      </w:r>
    </w:p>
    <w:p w14:paraId="542A07E4" w14:textId="77777777" w:rsidR="009558CE" w:rsidRPr="00EA175D" w:rsidRDefault="008C2F6E" w:rsidP="00EA175D">
      <w:pPr>
        <w:pStyle w:val="ab"/>
        <w:numPr>
          <w:ilvl w:val="0"/>
          <w:numId w:val="4"/>
        </w:numPr>
        <w:spacing w:line="360" w:lineRule="auto"/>
        <w:jc w:val="both"/>
      </w:pPr>
      <w:r w:rsidRPr="00EA175D">
        <w:t>Нестопанският сектор е представен от общо 152 души, или средно 2,4 души за всяка МИГ, което представлява среден дял на този сектор от 37% от състава на управителния съвет.</w:t>
      </w:r>
    </w:p>
    <w:p w14:paraId="6B7D98BB" w14:textId="35054D14" w:rsidR="00134844" w:rsidRPr="00EA175D" w:rsidRDefault="009558CE" w:rsidP="00EA175D">
      <w:pPr>
        <w:spacing w:line="360" w:lineRule="auto"/>
        <w:ind w:firstLine="567"/>
        <w:jc w:val="both"/>
      </w:pPr>
      <w:r w:rsidRPr="00F77584">
        <w:rPr>
          <w:lang w:val="ru-RU"/>
        </w:rPr>
        <w:t xml:space="preserve">Разпределението на основните сектори в </w:t>
      </w:r>
      <w:r w:rsidRPr="00EA175D">
        <w:t>управителните съвети</w:t>
      </w:r>
      <w:r w:rsidRPr="00F77584">
        <w:rPr>
          <w:lang w:val="ru-RU"/>
        </w:rPr>
        <w:t xml:space="preserve"> на всички 64 МИГ, изпълняващи стратегии за ВОМР е съобразено с изискванията на европейското и националното законодателство, касаещо прилагането на подхода ВОМР. Съгласно горната графика средно в колективния </w:t>
      </w:r>
      <w:r w:rsidRPr="00EA175D">
        <w:t>управителен</w:t>
      </w:r>
      <w:r w:rsidRPr="00F77584">
        <w:rPr>
          <w:lang w:val="ru-RU"/>
        </w:rPr>
        <w:t xml:space="preserve"> орган на МИГ делът на публичния сектор е </w:t>
      </w:r>
      <w:r w:rsidRPr="00EA175D">
        <w:t>2</w:t>
      </w:r>
      <w:r w:rsidRPr="00F77584">
        <w:rPr>
          <w:lang w:val="ru-RU"/>
        </w:rPr>
        <w:t xml:space="preserve">4%, делът на стопанския сектор е </w:t>
      </w:r>
      <w:r w:rsidRPr="00EA175D">
        <w:t>3</w:t>
      </w:r>
      <w:r w:rsidRPr="00F77584">
        <w:rPr>
          <w:lang w:val="ru-RU"/>
        </w:rPr>
        <w:t xml:space="preserve">9% и делът на нестопанския сектор е </w:t>
      </w:r>
      <w:r w:rsidRPr="00EA175D">
        <w:t>37</w:t>
      </w:r>
      <w:r w:rsidRPr="00F77584">
        <w:rPr>
          <w:lang w:val="ru-RU"/>
        </w:rPr>
        <w:t xml:space="preserve">%. </w:t>
      </w:r>
      <w:r w:rsidRPr="00EA175D">
        <w:rPr>
          <w:lang w:val="en-GB"/>
        </w:rPr>
        <w:t xml:space="preserve">При тези разпределения е спазено основото изискване на Регламент (ЕС) 1303/2013, а именно, че който и да било от секторите, не представлява повече от 49 % от правата на глас. </w:t>
      </w:r>
      <w:r w:rsidRPr="00F77584">
        <w:rPr>
          <w:lang w:val="ru-RU"/>
        </w:rPr>
        <w:t xml:space="preserve">Същото изискване е спазено за всички МИГ, като подробна информация относно броят на представителите на всеки сектор </w:t>
      </w:r>
      <w:r w:rsidRPr="00EA175D">
        <w:t xml:space="preserve">в колективните управителни съвети </w:t>
      </w:r>
      <w:r w:rsidRPr="00F77584">
        <w:rPr>
          <w:lang w:val="ru-RU"/>
        </w:rPr>
        <w:t xml:space="preserve">и дяловото им разпределение по МИГ е представено в </w:t>
      </w:r>
      <w:r w:rsidRPr="00F77584">
        <w:rPr>
          <w:b/>
          <w:bCs/>
          <w:lang w:val="ru-RU"/>
        </w:rPr>
        <w:t xml:space="preserve">Приложение № </w:t>
      </w:r>
      <w:r w:rsidR="00610A3B" w:rsidRPr="00EA175D">
        <w:rPr>
          <w:b/>
          <w:bCs/>
        </w:rPr>
        <w:t>8</w:t>
      </w:r>
      <w:r w:rsidR="00F06D0E" w:rsidRPr="00EA175D">
        <w:t xml:space="preserve"> </w:t>
      </w:r>
      <w:r w:rsidRPr="00F77584">
        <w:rPr>
          <w:lang w:val="ru-RU"/>
        </w:rPr>
        <w:t>към настоящото проучване.</w:t>
      </w:r>
    </w:p>
    <w:p w14:paraId="4C593525" w14:textId="77777777" w:rsidR="009558CE" w:rsidRPr="00EA175D" w:rsidRDefault="009558CE" w:rsidP="00EA175D">
      <w:pPr>
        <w:spacing w:line="360" w:lineRule="auto"/>
        <w:ind w:firstLine="567"/>
        <w:jc w:val="both"/>
      </w:pPr>
    </w:p>
    <w:p w14:paraId="1558A5FC" w14:textId="77777777" w:rsidR="009558CE" w:rsidRPr="00EA175D" w:rsidRDefault="008C2F6E" w:rsidP="00EA175D">
      <w:pPr>
        <w:spacing w:line="360" w:lineRule="auto"/>
        <w:ind w:firstLine="567"/>
        <w:jc w:val="both"/>
      </w:pPr>
      <w:r w:rsidRPr="00EA175D">
        <w:rPr>
          <w:lang w:val="it-IT" w:eastAsia="it-IT"/>
        </w:rPr>
        <w:lastRenderedPageBreak/>
        <w:drawing>
          <wp:inline distT="0" distB="0" distL="0" distR="0" wp14:anchorId="46503E09" wp14:editId="0F68B01F">
            <wp:extent cx="4572000" cy="2743200"/>
            <wp:effectExtent l="0" t="0" r="19050" b="1905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04E46A59" w14:textId="77777777" w:rsidR="009558CE" w:rsidRPr="00EA175D" w:rsidRDefault="009558CE" w:rsidP="00EA175D">
      <w:pPr>
        <w:spacing w:line="360" w:lineRule="auto"/>
        <w:ind w:firstLine="567"/>
        <w:jc w:val="both"/>
      </w:pPr>
    </w:p>
    <w:p w14:paraId="49D09BD8" w14:textId="77777777" w:rsidR="001A7DB7" w:rsidRPr="00EA175D" w:rsidRDefault="001A7DB7" w:rsidP="00EA175D">
      <w:pPr>
        <w:spacing w:line="360" w:lineRule="auto"/>
        <w:ind w:firstLine="567"/>
        <w:jc w:val="both"/>
        <w:rPr>
          <w:b/>
        </w:rPr>
      </w:pPr>
      <w:r w:rsidRPr="00EA175D">
        <w:rPr>
          <w:b/>
          <w:u w:val="single"/>
        </w:rPr>
        <w:t xml:space="preserve">Екипи </w:t>
      </w:r>
      <w:r w:rsidR="00397B1D" w:rsidRPr="00EA175D">
        <w:rPr>
          <w:b/>
          <w:u w:val="single"/>
        </w:rPr>
        <w:t>на МИГ</w:t>
      </w:r>
    </w:p>
    <w:p w14:paraId="62F77A32" w14:textId="77777777" w:rsidR="008101AB" w:rsidRPr="00EA175D" w:rsidRDefault="00C77BD9" w:rsidP="00EA175D">
      <w:pPr>
        <w:spacing w:line="360" w:lineRule="auto"/>
        <w:ind w:firstLine="567"/>
        <w:jc w:val="both"/>
      </w:pPr>
      <w:r w:rsidRPr="00EA175D">
        <w:t xml:space="preserve">Екипите на местните иницианивни групи имат за основа задача да организират,  координират и изпълняват дейностите, свързани </w:t>
      </w:r>
      <w:r w:rsidR="0089345E" w:rsidRPr="00EA175D">
        <w:t>с прилагането на стратегията за ВОМР – дейности, свързани с управление на стратегията и текущи разходи, както и дейности, свързани с популяризиране на стратегията и работа с местната общност. Както беше споменато по-горе изискванията към екипите на МИГ са заложени в законодателството, регулиращо прилагането на подхода и по-специално в Наредба № 22 от 14.12.2015 г.</w:t>
      </w:r>
    </w:p>
    <w:p w14:paraId="4B17AA01" w14:textId="160AC603" w:rsidR="00C257A4" w:rsidRPr="00F77584" w:rsidRDefault="00C257A4" w:rsidP="00EA175D">
      <w:pPr>
        <w:spacing w:line="360" w:lineRule="auto"/>
        <w:ind w:firstLine="567"/>
        <w:jc w:val="both"/>
        <w:rPr>
          <w:lang w:val="ru-RU"/>
        </w:rPr>
      </w:pPr>
      <w:r w:rsidRPr="00EA175D">
        <w:t>Общият брой на работещите в екипите на МИГ е 2</w:t>
      </w:r>
      <w:r w:rsidR="001E0A70" w:rsidRPr="00EA175D">
        <w:t>3</w:t>
      </w:r>
      <w:r w:rsidR="00261611" w:rsidRPr="00EA175D">
        <w:t>1</w:t>
      </w:r>
      <w:r w:rsidRPr="00EA175D">
        <w:t xml:space="preserve"> души, което прави средно 3,6 души на МИГ. Това </w:t>
      </w:r>
      <w:r w:rsidR="007B7728">
        <w:t xml:space="preserve"> означава</w:t>
      </w:r>
      <w:r w:rsidRPr="00EA175D">
        <w:t>, че в МИГ работят повече хора от предвиденият в Наредба № 22 от 14.12.2015 г.</w:t>
      </w:r>
    </w:p>
    <w:p w14:paraId="65E1BA08" w14:textId="0D9078D3" w:rsidR="000C5EF2" w:rsidRPr="00EA175D" w:rsidRDefault="000C5EF2" w:rsidP="00EA175D">
      <w:pPr>
        <w:spacing w:line="360" w:lineRule="auto"/>
        <w:ind w:firstLine="567"/>
        <w:jc w:val="both"/>
      </w:pPr>
      <w:r w:rsidRPr="00EA175D">
        <w:t>Към мом</w:t>
      </w:r>
      <w:r w:rsidR="001E0A70" w:rsidRPr="00EA175D">
        <w:t>ента на з</w:t>
      </w:r>
      <w:r w:rsidR="007B7728">
        <w:t>а</w:t>
      </w:r>
      <w:r w:rsidR="001E0A70" w:rsidRPr="00EA175D">
        <w:t xml:space="preserve">вършване на настоящата оценка две МИГ нямат назначени изпълнителни директори – това са МИГ „Нови пазар – Каспичан“ и МИГ „Куклен – Асеновград“. </w:t>
      </w:r>
    </w:p>
    <w:p w14:paraId="1FAAC4A9" w14:textId="77777777" w:rsidR="00667624" w:rsidRPr="00EA175D" w:rsidRDefault="00667624" w:rsidP="00EA175D">
      <w:pPr>
        <w:spacing w:line="360" w:lineRule="auto"/>
        <w:ind w:firstLine="567"/>
        <w:jc w:val="both"/>
      </w:pPr>
      <w:r w:rsidRPr="00EA175D">
        <w:t>Графика. Брой членове на екипите на МИГ.</w:t>
      </w:r>
    </w:p>
    <w:p w14:paraId="7547559E" w14:textId="77777777" w:rsidR="000C5EF2" w:rsidRPr="00EA175D" w:rsidRDefault="00667624" w:rsidP="00EA175D">
      <w:pPr>
        <w:spacing w:line="360" w:lineRule="auto"/>
        <w:ind w:firstLine="567"/>
        <w:jc w:val="both"/>
      </w:pPr>
      <w:r w:rsidRPr="00EA175D">
        <w:rPr>
          <w:lang w:val="it-IT" w:eastAsia="it-IT"/>
        </w:rPr>
        <w:lastRenderedPageBreak/>
        <w:drawing>
          <wp:inline distT="0" distB="0" distL="0" distR="0" wp14:anchorId="3E39485D" wp14:editId="75B5D306">
            <wp:extent cx="5153025" cy="7574280"/>
            <wp:effectExtent l="0" t="0" r="9525" b="762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4CAC8084" w14:textId="77777777" w:rsidR="00261611" w:rsidRPr="00EA175D" w:rsidRDefault="00261611" w:rsidP="00EA175D">
      <w:pPr>
        <w:spacing w:line="360" w:lineRule="auto"/>
        <w:ind w:firstLine="567"/>
        <w:jc w:val="both"/>
      </w:pPr>
    </w:p>
    <w:p w14:paraId="10CB1402" w14:textId="77777777" w:rsidR="00DD2ECF" w:rsidRPr="00EA175D" w:rsidRDefault="00DD2ECF" w:rsidP="00EA175D">
      <w:pPr>
        <w:spacing w:line="360" w:lineRule="auto"/>
        <w:ind w:firstLine="567"/>
        <w:jc w:val="both"/>
      </w:pPr>
    </w:p>
    <w:p w14:paraId="59CB5236" w14:textId="77777777" w:rsidR="006D08A7" w:rsidRPr="00EA175D" w:rsidRDefault="006D08A7" w:rsidP="00EA175D">
      <w:pPr>
        <w:spacing w:line="360" w:lineRule="auto"/>
        <w:ind w:firstLine="567"/>
        <w:jc w:val="both"/>
      </w:pPr>
    </w:p>
    <w:p w14:paraId="10A8F614" w14:textId="77777777" w:rsidR="00E02DF1" w:rsidRPr="00EA175D" w:rsidRDefault="00013A46" w:rsidP="00EA175D">
      <w:pPr>
        <w:spacing w:line="360" w:lineRule="auto"/>
        <w:ind w:firstLine="567"/>
        <w:jc w:val="both"/>
        <w:rPr>
          <w:b/>
        </w:rPr>
      </w:pPr>
      <w:r w:rsidRPr="00EA175D">
        <w:rPr>
          <w:b/>
        </w:rPr>
        <w:t xml:space="preserve">Заключения </w:t>
      </w:r>
    </w:p>
    <w:p w14:paraId="3CF505BA" w14:textId="77777777" w:rsidR="00013A46" w:rsidRPr="00EA175D" w:rsidRDefault="00013A46" w:rsidP="00EA175D">
      <w:pPr>
        <w:spacing w:line="360" w:lineRule="auto"/>
        <w:ind w:firstLine="567"/>
        <w:jc w:val="both"/>
      </w:pPr>
      <w:r w:rsidRPr="00EA175D">
        <w:t>Представената информация показва, че съставите на вси</w:t>
      </w:r>
      <w:r w:rsidR="00277758" w:rsidRPr="00EA175D">
        <w:t>ч</w:t>
      </w:r>
      <w:r w:rsidRPr="00EA175D">
        <w:t xml:space="preserve">ки органи на МИГ като общи събрания, управителни съвет и екипи </w:t>
      </w:r>
      <w:r w:rsidR="00C2713C" w:rsidRPr="00EA175D">
        <w:t xml:space="preserve">(по брой членове и представеност на основните сектори) </w:t>
      </w:r>
      <w:r w:rsidRPr="00EA175D">
        <w:t xml:space="preserve">отговарят напълно на европейските и национални нормативни изисквания. </w:t>
      </w:r>
      <w:r w:rsidR="00C2713C" w:rsidRPr="00EA175D">
        <w:t xml:space="preserve">Това предполага наличието на предпоставки за успешното изпълнение на стратегиите за ВОМР в съответствие с местните приоритети и в полза на местните общности, както и за </w:t>
      </w:r>
      <w:r w:rsidR="009B60BD" w:rsidRPr="00EA175D">
        <w:t>добрата представеност и участие на местните жители в този процес.</w:t>
      </w:r>
    </w:p>
    <w:p w14:paraId="1EE98DB5" w14:textId="77777777" w:rsidR="00013A46" w:rsidRPr="00EA175D" w:rsidRDefault="00013A46" w:rsidP="00EA175D">
      <w:pPr>
        <w:spacing w:line="360" w:lineRule="auto"/>
        <w:ind w:firstLine="567"/>
        <w:jc w:val="both"/>
      </w:pPr>
      <w:r w:rsidRPr="00EA175D">
        <w:t>Средният членски състав на общите събрания на МИГ е 43 души. Това предполага добра представеност на жителите от съответните територии и публичност и прозрачност на процеса на управление на МИГ.</w:t>
      </w:r>
    </w:p>
    <w:p w14:paraId="00EE2A21" w14:textId="77777777" w:rsidR="00277758" w:rsidRPr="00EA175D" w:rsidRDefault="00013A46" w:rsidP="00EA175D">
      <w:pPr>
        <w:spacing w:line="360" w:lineRule="auto"/>
        <w:ind w:firstLine="567"/>
        <w:jc w:val="both"/>
      </w:pPr>
      <w:r w:rsidRPr="00EA175D">
        <w:t xml:space="preserve">В съставите на общите събрания стопанският и нестопанският сектори са представени с почти равни дялове (по около 46%), като представителите на публичния сектор са с най-малък дял. </w:t>
      </w:r>
      <w:r w:rsidR="00277758" w:rsidRPr="00EA175D">
        <w:t>П</w:t>
      </w:r>
      <w:r w:rsidRPr="00EA175D">
        <w:t>ричина за</w:t>
      </w:r>
      <w:r w:rsidR="00277758" w:rsidRPr="00EA175D">
        <w:t xml:space="preserve"> </w:t>
      </w:r>
      <w:r w:rsidRPr="00EA175D">
        <w:t>това е</w:t>
      </w:r>
      <w:r w:rsidR="00277758" w:rsidRPr="00EA175D">
        <w:t>, че основните представители на публичния сектор са общините, което ограничава и броя им общите събрания</w:t>
      </w:r>
      <w:r w:rsidRPr="00EA175D">
        <w:t xml:space="preserve">. </w:t>
      </w:r>
    </w:p>
    <w:p w14:paraId="4BD2F181" w14:textId="77777777" w:rsidR="00013A46" w:rsidRPr="00EA175D" w:rsidRDefault="00013A46" w:rsidP="00EA175D">
      <w:pPr>
        <w:spacing w:line="360" w:lineRule="auto"/>
        <w:ind w:firstLine="567"/>
        <w:jc w:val="both"/>
      </w:pPr>
      <w:r w:rsidRPr="00EA175D">
        <w:t>В управителните съвети публичният сектор има по-голям дял, което е разбираемо и се обяснява с ограничения брой на техните членове – между 5 и 9 души.</w:t>
      </w:r>
    </w:p>
    <w:p w14:paraId="7687C092" w14:textId="77777777" w:rsidR="00C2713C" w:rsidRPr="00EA175D" w:rsidRDefault="00277758" w:rsidP="00EA175D">
      <w:pPr>
        <w:spacing w:line="360" w:lineRule="auto"/>
        <w:ind w:firstLine="567"/>
        <w:jc w:val="both"/>
      </w:pPr>
      <w:r w:rsidRPr="00EA175D">
        <w:t>Органите на МИГ са</w:t>
      </w:r>
      <w:r w:rsidR="00013A46" w:rsidRPr="00EA175D">
        <w:t xml:space="preserve"> </w:t>
      </w:r>
      <w:r w:rsidRPr="00EA175D">
        <w:t xml:space="preserve">напълно </w:t>
      </w:r>
      <w:r w:rsidR="00013A46" w:rsidRPr="00EA175D">
        <w:t>окомплектовани</w:t>
      </w:r>
      <w:r w:rsidRPr="00EA175D">
        <w:t>,</w:t>
      </w:r>
      <w:r w:rsidR="00013A46" w:rsidRPr="00EA175D">
        <w:t xml:space="preserve"> </w:t>
      </w:r>
      <w:r w:rsidRPr="00EA175D">
        <w:t>с изключение на екипите на</w:t>
      </w:r>
      <w:r w:rsidRPr="00F77584">
        <w:rPr>
          <w:lang w:val="ru-RU"/>
        </w:rPr>
        <w:t xml:space="preserve"> </w:t>
      </w:r>
      <w:r w:rsidRPr="00EA175D">
        <w:t xml:space="preserve">МИГ „Нови пазар – Каспичан“ и МИГ „Куклен – Асеновград“, в които няма назначени ипълнителни директори. </w:t>
      </w:r>
    </w:p>
    <w:p w14:paraId="50F39D1F" w14:textId="77777777" w:rsidR="00013A46" w:rsidRPr="00EA175D" w:rsidRDefault="00277758" w:rsidP="00EA175D">
      <w:pPr>
        <w:spacing w:line="360" w:lineRule="auto"/>
        <w:ind w:firstLine="567"/>
        <w:jc w:val="both"/>
      </w:pPr>
      <w:r w:rsidRPr="00EA175D">
        <w:t xml:space="preserve">Основна препоръка към тях е възможно най-бързото назначаване на съответните служители, тъй като това е предпоставка за тяхната допустимост да изпълняват стратегия за ВОМР съгласно условията на националното законодателство. </w:t>
      </w:r>
      <w:r w:rsidR="00013A46" w:rsidRPr="00EA175D">
        <w:t xml:space="preserve">  </w:t>
      </w:r>
    </w:p>
    <w:p w14:paraId="2CDF804F" w14:textId="77777777" w:rsidR="00F32B23" w:rsidRPr="00EA175D" w:rsidRDefault="00F32B23" w:rsidP="00EA175D">
      <w:pPr>
        <w:spacing w:line="360" w:lineRule="auto"/>
        <w:ind w:firstLine="567"/>
        <w:jc w:val="both"/>
      </w:pPr>
      <w:r w:rsidRPr="00EA175D">
        <w:t>Управляващият орган на ПРСР 2014 – 2020 г. е създал необходимите условия за</w:t>
      </w:r>
      <w:r w:rsidR="00BA6CF8" w:rsidRPr="00EA175D">
        <w:t xml:space="preserve"> прилагане и контрол</w:t>
      </w:r>
      <w:r w:rsidR="008A2C85" w:rsidRPr="00EA175D">
        <w:t>.</w:t>
      </w:r>
      <w:r w:rsidRPr="00EA175D">
        <w:t xml:space="preserve"> </w:t>
      </w:r>
    </w:p>
    <w:p w14:paraId="154A2C92" w14:textId="77777777" w:rsidR="00277758" w:rsidRPr="00EA175D" w:rsidRDefault="00277758" w:rsidP="00EA175D">
      <w:pPr>
        <w:spacing w:line="360" w:lineRule="auto"/>
        <w:ind w:firstLine="567"/>
        <w:jc w:val="both"/>
      </w:pPr>
    </w:p>
    <w:p w14:paraId="599C96A8" w14:textId="77777777" w:rsidR="00F46353" w:rsidRPr="00EA175D" w:rsidRDefault="00F46353" w:rsidP="00EA175D">
      <w:pPr>
        <w:pStyle w:val="1"/>
        <w:numPr>
          <w:ilvl w:val="1"/>
          <w:numId w:val="1"/>
        </w:numPr>
        <w:tabs>
          <w:tab w:val="left" w:pos="993"/>
        </w:tabs>
        <w:spacing w:line="360" w:lineRule="auto"/>
        <w:ind w:left="0" w:firstLine="567"/>
        <w:jc w:val="both"/>
        <w:rPr>
          <w:rFonts w:ascii="Times New Roman" w:hAnsi="Times New Roman" w:cs="Times New Roman"/>
          <w:color w:val="auto"/>
          <w:sz w:val="24"/>
          <w:szCs w:val="24"/>
        </w:rPr>
      </w:pPr>
      <w:bookmarkStart w:id="40" w:name="_Toc93489793"/>
      <w:r w:rsidRPr="00EA175D">
        <w:rPr>
          <w:rFonts w:ascii="Times New Roman" w:hAnsi="Times New Roman" w:cs="Times New Roman"/>
          <w:color w:val="auto"/>
          <w:sz w:val="24"/>
          <w:szCs w:val="24"/>
        </w:rPr>
        <w:lastRenderedPageBreak/>
        <w:t>Оценка на прилагането на подмярка 19.1 „Помощ за подготвителни дейности“ от ПРСР 2014-2020 г., включително и прила</w:t>
      </w:r>
      <w:r w:rsidR="00961092" w:rsidRPr="00EA175D">
        <w:rPr>
          <w:rFonts w:ascii="Times New Roman" w:hAnsi="Times New Roman" w:cs="Times New Roman"/>
          <w:color w:val="auto"/>
          <w:sz w:val="24"/>
          <w:szCs w:val="24"/>
        </w:rPr>
        <w:t>гане на „Малки пилотни проекти“</w:t>
      </w:r>
      <w:bookmarkEnd w:id="40"/>
    </w:p>
    <w:p w14:paraId="674C9F05" w14:textId="77777777" w:rsidR="00B929E2" w:rsidRPr="00EA175D" w:rsidRDefault="00C13C1F" w:rsidP="00EA175D">
      <w:pPr>
        <w:spacing w:line="360" w:lineRule="auto"/>
        <w:ind w:firstLine="567"/>
        <w:jc w:val="both"/>
      </w:pPr>
      <w:r w:rsidRPr="00EA175D">
        <w:t xml:space="preserve">Подмярка 19.1. „Помощ за подготвителни дейности” цели да подкрепи подготовката на местните общности за прилагането на подхода Водено от общностите местно развитие през периода 2014 – 2020 г. </w:t>
      </w:r>
      <w:r w:rsidR="00B929E2" w:rsidRPr="00EA175D">
        <w:t>Въз основа на опита при изпълнението на подмярката за подготвителни дейности през програмния период 2007 – 2013 г. подкрепата за изграждане на капацитет, информираност, обучения и създаване на мрежи с цел изготвяне и изпълнение на стратегии за Водено от общностите местно развитие продължава и през програмен период 2014 – 2020 г., като по този начин се подпомага изготвянето на качествени стратегии с широкото участие на местните общности, в това число и на представители на малцинства и уязвими групи, в т. ч. роми, когато това е приложимо.</w:t>
      </w:r>
    </w:p>
    <w:p w14:paraId="017D638E" w14:textId="77777777" w:rsidR="006D08A7" w:rsidRPr="00EA175D" w:rsidRDefault="00C13C1F" w:rsidP="00EA175D">
      <w:pPr>
        <w:spacing w:line="360" w:lineRule="auto"/>
        <w:ind w:firstLine="567"/>
        <w:jc w:val="both"/>
      </w:pPr>
      <w:r w:rsidRPr="00EA175D">
        <w:t>Съгласно споразумението за партньорство, УО на ПРСР 2014 – 2020 г. отговаря за прилагането на подготвителната помощ в тясна координация с Управляващите органи на всички фондове, включени във финансирането на подхода ВОМР. Помощта за подготвителни дейности за местните общности през периода 2014 – 2020 г. се финансира по линия на Европейския фонд за развитие на селските райони, независимо дали същите предвиждат прилагането на стратегия за местно развитие, финансирана по този фонд или по повече от един от фондовете, включени във финансирането на подхода ВОМР.</w:t>
      </w:r>
    </w:p>
    <w:p w14:paraId="4260DECE" w14:textId="77777777" w:rsidR="00E9352F" w:rsidRPr="00EA175D" w:rsidRDefault="00B929E2" w:rsidP="00EA175D">
      <w:pPr>
        <w:spacing w:line="360" w:lineRule="auto"/>
        <w:ind w:firstLine="567"/>
        <w:jc w:val="both"/>
      </w:pPr>
      <w:r w:rsidRPr="00EA175D">
        <w:t>По подмярката се подкрепя и реализацията на малки пилотни проекти, по които могат да кандидатстват местни инициативни групи, чиито стратегии за Водено от общностите местно развитие не са одобрени за финансиране през програмен период 2014 – 2020 г. Подкрепата за малки пилотни проекти с</w:t>
      </w:r>
      <w:r w:rsidR="00E9352F" w:rsidRPr="00EA175D">
        <w:t>тартира</w:t>
      </w:r>
      <w:r w:rsidRPr="00EA175D">
        <w:t xml:space="preserve"> след приключване на процедурата за одобрение на последните стратегии за Воденото от общностите местно развитие. </w:t>
      </w:r>
    </w:p>
    <w:p w14:paraId="195062BA" w14:textId="77777777" w:rsidR="00EE7EE2" w:rsidRPr="00EA175D" w:rsidRDefault="00E9352F" w:rsidP="00EA175D">
      <w:pPr>
        <w:spacing w:line="360" w:lineRule="auto"/>
        <w:ind w:firstLine="567"/>
        <w:jc w:val="both"/>
      </w:pPr>
      <w:r w:rsidRPr="00EA175D">
        <w:t>Началният</w:t>
      </w:r>
      <w:r w:rsidR="00EE7EE2" w:rsidRPr="00EA175D">
        <w:t xml:space="preserve"> етап от прилагането на подхода ВОМР е свързан с </w:t>
      </w:r>
      <w:r w:rsidRPr="00EA175D">
        <w:t xml:space="preserve">осигуряване на финансова подкрепа за </w:t>
      </w:r>
      <w:r w:rsidR="00EE7EE2" w:rsidRPr="00EA175D">
        <w:t>реализиране на подготвителни дейности по подмярка 19.1 с</w:t>
      </w:r>
      <w:r w:rsidRPr="00EA175D">
        <w:t>ъс следните основни</w:t>
      </w:r>
      <w:r w:rsidR="00EE7EE2" w:rsidRPr="00EA175D">
        <w:t xml:space="preserve"> цел</w:t>
      </w:r>
      <w:r w:rsidRPr="00EA175D">
        <w:t>и</w:t>
      </w:r>
      <w:r w:rsidR="00EE7EE2" w:rsidRPr="00EA175D">
        <w:t>:</w:t>
      </w:r>
    </w:p>
    <w:p w14:paraId="3BE82900" w14:textId="77777777" w:rsidR="00EE7EE2" w:rsidRPr="00EA175D" w:rsidRDefault="00EE7EE2" w:rsidP="00EA175D">
      <w:pPr>
        <w:spacing w:line="360" w:lineRule="auto"/>
        <w:ind w:firstLine="567"/>
        <w:jc w:val="both"/>
      </w:pPr>
      <w:r w:rsidRPr="00EA175D">
        <w:lastRenderedPageBreak/>
        <w:t>1. подпомагане на процеса по създава</w:t>
      </w:r>
      <w:r w:rsidR="00E9352F" w:rsidRPr="00EA175D">
        <w:t xml:space="preserve">не на </w:t>
      </w:r>
      <w:r w:rsidRPr="00EA175D">
        <w:t>МИГ в селски райони;</w:t>
      </w:r>
    </w:p>
    <w:p w14:paraId="5479BE04" w14:textId="77777777" w:rsidR="00EE7EE2" w:rsidRPr="00EA175D" w:rsidRDefault="00EE7EE2" w:rsidP="00EA175D">
      <w:pPr>
        <w:spacing w:line="360" w:lineRule="auto"/>
        <w:ind w:firstLine="567"/>
        <w:jc w:val="both"/>
      </w:pPr>
      <w:r w:rsidRPr="00EA175D">
        <w:t>2. подкрепа за придобиване на умения и създаване на капацитет за функциониране на такива групи на местно ниво;</w:t>
      </w:r>
    </w:p>
    <w:p w14:paraId="5D7B7133" w14:textId="77777777" w:rsidR="00EE7EE2" w:rsidRPr="00EA175D" w:rsidRDefault="00EE7EE2" w:rsidP="00EA175D">
      <w:pPr>
        <w:spacing w:line="360" w:lineRule="auto"/>
        <w:ind w:firstLine="567"/>
        <w:jc w:val="both"/>
      </w:pPr>
      <w:r w:rsidRPr="00EA175D">
        <w:t>3. подпомагане на процеса за подготовка на стратегии за местно развитие, финансирани от ЕЗФРСР или от повече от един от ЕСИФ;</w:t>
      </w:r>
    </w:p>
    <w:p w14:paraId="63B291E2" w14:textId="77777777" w:rsidR="00EE7EE2" w:rsidRPr="00EA175D" w:rsidRDefault="00EE7EE2" w:rsidP="00EA175D">
      <w:pPr>
        <w:spacing w:line="360" w:lineRule="auto"/>
        <w:ind w:firstLine="567"/>
        <w:jc w:val="both"/>
      </w:pPr>
      <w:r w:rsidRPr="00EA175D">
        <w:t>4. насърчаване на включването на местното население в разработването и бъдещото прилагане на стратегиите за местно развитие;</w:t>
      </w:r>
    </w:p>
    <w:p w14:paraId="54937B91" w14:textId="77777777" w:rsidR="00EE7EE2" w:rsidRPr="00EA175D" w:rsidRDefault="00EE7EE2" w:rsidP="00EA175D">
      <w:pPr>
        <w:spacing w:line="360" w:lineRule="auto"/>
        <w:ind w:firstLine="567"/>
        <w:jc w:val="both"/>
      </w:pPr>
      <w:r w:rsidRPr="00EA175D">
        <w:t>5. подкрепа за информиране на местното население относно възможността за финансиране на стратегиите по повече от един фонд;</w:t>
      </w:r>
    </w:p>
    <w:p w14:paraId="38F85C2B" w14:textId="77777777" w:rsidR="00E9352F" w:rsidRPr="00EA175D" w:rsidRDefault="00EE7EE2" w:rsidP="00EA175D">
      <w:pPr>
        <w:spacing w:line="360" w:lineRule="auto"/>
        <w:ind w:firstLine="567"/>
        <w:jc w:val="both"/>
      </w:pPr>
      <w:r w:rsidRPr="00EA175D">
        <w:t>6. подкрепа за популяризиране на местната идентичност.</w:t>
      </w:r>
    </w:p>
    <w:p w14:paraId="2AF4A614" w14:textId="77777777" w:rsidR="00B96E86" w:rsidRPr="00EA175D" w:rsidRDefault="00EE7EE2" w:rsidP="00EA175D">
      <w:pPr>
        <w:spacing w:line="360" w:lineRule="auto"/>
        <w:ind w:firstLine="567"/>
        <w:jc w:val="both"/>
      </w:pPr>
      <w:r w:rsidRPr="00EA175D">
        <w:t>Подмярка</w:t>
      </w:r>
      <w:r w:rsidR="00E9352F" w:rsidRPr="00EA175D">
        <w:t xml:space="preserve"> 19.1</w:t>
      </w:r>
      <w:r w:rsidR="00B96E86" w:rsidRPr="00EA175D">
        <w:t xml:space="preserve"> е разделена на две</w:t>
      </w:r>
      <w:r w:rsidRPr="00EA175D">
        <w:t xml:space="preserve"> </w:t>
      </w:r>
      <w:r w:rsidR="00B96E86" w:rsidRPr="00EA175D">
        <w:t>основни направления</w:t>
      </w:r>
      <w:r w:rsidRPr="00EA175D">
        <w:t>: Първ</w:t>
      </w:r>
      <w:r w:rsidR="00B96E86" w:rsidRPr="00EA175D">
        <w:t>о</w:t>
      </w:r>
      <w:r w:rsidRPr="00EA175D">
        <w:t>т</w:t>
      </w:r>
      <w:r w:rsidR="00B96E86" w:rsidRPr="00EA175D">
        <w:t>о</w:t>
      </w:r>
      <w:r w:rsidRPr="00EA175D">
        <w:t xml:space="preserve"> е </w:t>
      </w:r>
      <w:r w:rsidR="00B96E86" w:rsidRPr="00EA175D">
        <w:t>насочено</w:t>
      </w:r>
      <w:r w:rsidRPr="00EA175D">
        <w:t xml:space="preserve"> </w:t>
      </w:r>
      <w:r w:rsidR="00B96E86" w:rsidRPr="00EA175D">
        <w:t>към</w:t>
      </w:r>
      <w:r w:rsidRPr="00EA175D">
        <w:t xml:space="preserve"> </w:t>
      </w:r>
      <w:r w:rsidR="00B96E86" w:rsidRPr="00EA175D">
        <w:t xml:space="preserve">предоставяне на безвъзмездна финансова помощ за </w:t>
      </w:r>
      <w:r w:rsidRPr="00EA175D">
        <w:t>реализацията на подготвителни дейности по подмярката, а втор</w:t>
      </w:r>
      <w:r w:rsidR="00B96E86" w:rsidRPr="00EA175D">
        <w:t>о</w:t>
      </w:r>
      <w:r w:rsidRPr="00EA175D">
        <w:t>т</w:t>
      </w:r>
      <w:r w:rsidR="00B96E86" w:rsidRPr="00EA175D">
        <w:t>о</w:t>
      </w:r>
      <w:r w:rsidRPr="00EA175D">
        <w:t xml:space="preserve"> – </w:t>
      </w:r>
      <w:r w:rsidR="00B96E86" w:rsidRPr="00EA175D">
        <w:t xml:space="preserve">към </w:t>
      </w:r>
      <w:r w:rsidRPr="00EA175D">
        <w:t xml:space="preserve">предоставяне на безвъзмездна финансова помощ за реализиране на малки пилотни проекти от МИГ, които са кандидатствали за одобрение и са преминали успешно оценка за административно съответствие и допустимост по реда на наредба за прилагане на подмярка 19.2 „Прилагане на операции в рамките на стратегии за Водено от общностите местно развитие” на мярка 19 „Водено от общностите местно развитие”, но нямат одобрени за финансиране стратегии за програмния период 2014-2020 г. </w:t>
      </w:r>
    </w:p>
    <w:p w14:paraId="0694198C" w14:textId="77777777" w:rsidR="00B96E86" w:rsidRPr="00EA175D" w:rsidRDefault="00EE7EE2" w:rsidP="00EA175D">
      <w:pPr>
        <w:spacing w:line="360" w:lineRule="auto"/>
        <w:ind w:firstLine="567"/>
        <w:jc w:val="both"/>
      </w:pPr>
      <w:r w:rsidRPr="00EA175D">
        <w:t xml:space="preserve">Критериите за оценка на проектите (за подготвителна помощ и малките пилотни проекти) </w:t>
      </w:r>
      <w:r w:rsidR="00B96E86" w:rsidRPr="00EA175D">
        <w:t>с</w:t>
      </w:r>
      <w:r w:rsidRPr="00EA175D">
        <w:t xml:space="preserve">а одобрени от Комитета за наблюдение на ПРСР 2014 – 2020 г. на проведена писмена процедура в периода 07.04 - 22.04.2015 г. </w:t>
      </w:r>
    </w:p>
    <w:p w14:paraId="7AA4BFE3" w14:textId="77777777" w:rsidR="00E96E7F" w:rsidRPr="00EA175D" w:rsidRDefault="00EE7EE2" w:rsidP="00EA175D">
      <w:pPr>
        <w:spacing w:line="360" w:lineRule="auto"/>
        <w:ind w:firstLine="567"/>
        <w:jc w:val="both"/>
      </w:pPr>
      <w:r w:rsidRPr="00EA175D">
        <w:t>Реалното изпълнение на подмярката започ</w:t>
      </w:r>
      <w:r w:rsidR="00B96E86" w:rsidRPr="00EA175D">
        <w:t>ва</w:t>
      </w:r>
      <w:r w:rsidRPr="00EA175D">
        <w:t xml:space="preserve"> с обнародване в „Държавен вестник“ на Наредба № 16 от 30.07.2015 г. за прилагане на подмярка 19.1 „Помощ за подготвителни дейности“ на мярка 19 „Водено от общностите местно развитие“ от Програмата за развитие на селските райони за периода 2014 – 2020 г., издадена от министъра на земеделието и храните, обн., ДВ, бр. 59 от 4.08.2015 г., в сила от 4.08.2015 г., изм. и доп., бр. 87 от 10.11.2015 г., доп., бр. 9 от 2.02.2016 г., изм. и  доп., бр. 44 от 10.06.2016 г. След публикуването на подзаконовия нормативен акт в ДВ, са разработени </w:t>
      </w:r>
      <w:r w:rsidRPr="00EA175D">
        <w:lastRenderedPageBreak/>
        <w:t>и утвърдени и Вътрешни правила за изпълнение на подмярка 19.1 „Помощ за подготвителни дейности“, което е позволило да бъде обявен и първият прием за заявления за изразяване на</w:t>
      </w:r>
      <w:r w:rsidR="00E96E7F" w:rsidRPr="00EA175D">
        <w:t xml:space="preserve"> интерес в средата на 2015 г.  </w:t>
      </w:r>
    </w:p>
    <w:p w14:paraId="1D6251DE" w14:textId="77777777" w:rsidR="00E96E7F" w:rsidRPr="00EA175D" w:rsidRDefault="00EE7EE2" w:rsidP="00EA175D">
      <w:pPr>
        <w:spacing w:line="360" w:lineRule="auto"/>
        <w:ind w:firstLine="567"/>
        <w:jc w:val="both"/>
      </w:pPr>
      <w:r w:rsidRPr="00EA175D">
        <w:t xml:space="preserve">УО на ПРСР 2014 </w:t>
      </w:r>
      <w:r w:rsidR="00E96E7F" w:rsidRPr="00EA175D">
        <w:t xml:space="preserve">– </w:t>
      </w:r>
      <w:r w:rsidRPr="00EA175D">
        <w:t xml:space="preserve">2020 г. е </w:t>
      </w:r>
      <w:r w:rsidR="00E96E7F" w:rsidRPr="00EA175D">
        <w:t>извършил</w:t>
      </w:r>
      <w:r w:rsidRPr="00EA175D">
        <w:t xml:space="preserve"> следните действия по прилагането по подпомярка 19.1 „Помощ за подготвителни дейности“:</w:t>
      </w:r>
    </w:p>
    <w:p w14:paraId="5FEB626D" w14:textId="77777777" w:rsidR="0016279D" w:rsidRPr="00EA175D" w:rsidRDefault="0016279D" w:rsidP="00EA175D">
      <w:pPr>
        <w:spacing w:line="360" w:lineRule="auto"/>
        <w:ind w:firstLine="567"/>
        <w:jc w:val="both"/>
      </w:pPr>
      <w:r w:rsidRPr="00EA175D">
        <w:t>Първи прием на заявления.</w:t>
      </w:r>
    </w:p>
    <w:p w14:paraId="642BD2F3" w14:textId="77777777" w:rsidR="00E96E7F" w:rsidRPr="00EA175D" w:rsidRDefault="00EE7EE2" w:rsidP="00EA175D">
      <w:pPr>
        <w:spacing w:line="360" w:lineRule="auto"/>
        <w:ind w:firstLine="567"/>
        <w:jc w:val="both"/>
      </w:pPr>
      <w:r w:rsidRPr="00EA175D">
        <w:t xml:space="preserve">Със Заповед № РД 09-556 от 11.08.2015 г. на министъра на земеделието и храните е определен първия период за прием на заявления за изразяване на интерес по реда на Наредба № 16 от 30 юли 2015 г. за прилагане на подмярка 19.1 „Помощ за подготвителни дейности” на мярка 19 „Водено от общностите местно развитие” от ПРСР 2014 </w:t>
      </w:r>
      <w:r w:rsidR="00E96E7F" w:rsidRPr="00EA175D">
        <w:t>–</w:t>
      </w:r>
      <w:r w:rsidRPr="00EA175D">
        <w:t xml:space="preserve"> 2020 г. с начална дата 12.08.2015 г. и крайна дата 04.09.2015 г. Общият бюджет по мярката е на стойност </w:t>
      </w:r>
      <w:r w:rsidR="00E96E7F" w:rsidRPr="00EA175D">
        <w:t>9 322 207 лв. (4 766 442 евро).</w:t>
      </w:r>
    </w:p>
    <w:p w14:paraId="0048AEF0" w14:textId="77777777" w:rsidR="00E96E7F" w:rsidRPr="00EA175D" w:rsidRDefault="00EE7EE2" w:rsidP="00EA175D">
      <w:pPr>
        <w:spacing w:line="360" w:lineRule="auto"/>
        <w:ind w:firstLine="567"/>
        <w:jc w:val="both"/>
      </w:pPr>
      <w:r w:rsidRPr="00EA175D">
        <w:t xml:space="preserve">В резултат на приема в Министерство на земеделието и храните (МЗХ) са постъпили 89 заявления за изразяване на интерес по подмярката с обща стойност на заявената финансова помощ </w:t>
      </w:r>
      <w:r w:rsidR="00E96E7F" w:rsidRPr="00EA175D">
        <w:t xml:space="preserve">в размер на </w:t>
      </w:r>
      <w:r w:rsidR="000B0A0A" w:rsidRPr="00EA175D">
        <w:t>4 509 496,15 лева (2 305 668,77 евро). В техния обхват попадат териториите на 161 общини</w:t>
      </w:r>
      <w:r w:rsidR="00231597" w:rsidRPr="00EA175D">
        <w:t xml:space="preserve"> с територия 69 182 кв. км. и население 2 081 035 жители</w:t>
      </w:r>
      <w:r w:rsidR="000B0A0A" w:rsidRPr="00EA175D">
        <w:t>. Поради различни причини на етапа на проверка за административно съответствие и допустимост са отхвърлени 23 заявления, в които са включени териториите на 42 общини</w:t>
      </w:r>
      <w:r w:rsidR="00231597" w:rsidRPr="00EA175D">
        <w:t xml:space="preserve"> с територия 16 622 кв. км. и население 488 292 жители</w:t>
      </w:r>
      <w:r w:rsidR="000B0A0A" w:rsidRPr="00EA175D">
        <w:t>. Сключените до</w:t>
      </w:r>
      <w:r w:rsidR="00B066E7" w:rsidRPr="00EA175D">
        <w:t>говори по проведения прием са 6</w:t>
      </w:r>
      <w:r w:rsidR="00B066E7" w:rsidRPr="00F77584">
        <w:rPr>
          <w:lang w:val="ru-RU"/>
        </w:rPr>
        <w:t>5</w:t>
      </w:r>
      <w:r w:rsidR="000B0A0A" w:rsidRPr="00EA175D">
        <w:t xml:space="preserve"> на обща стойност 3 3</w:t>
      </w:r>
      <w:r w:rsidR="00B066E7" w:rsidRPr="00F77584">
        <w:rPr>
          <w:lang w:val="ru-RU"/>
        </w:rPr>
        <w:t>07</w:t>
      </w:r>
      <w:r w:rsidR="000B0A0A" w:rsidRPr="00EA175D">
        <w:t xml:space="preserve"> </w:t>
      </w:r>
      <w:r w:rsidR="00B066E7" w:rsidRPr="00F77584">
        <w:rPr>
          <w:lang w:val="ru-RU"/>
        </w:rPr>
        <w:t>941</w:t>
      </w:r>
      <w:r w:rsidR="000B0A0A" w:rsidRPr="00EA175D">
        <w:t>,</w:t>
      </w:r>
      <w:r w:rsidR="00B066E7" w:rsidRPr="00F77584">
        <w:rPr>
          <w:lang w:val="ru-RU"/>
        </w:rPr>
        <w:t>3</w:t>
      </w:r>
      <w:r w:rsidR="000B0A0A" w:rsidRPr="00EA175D">
        <w:t xml:space="preserve">0 лева (1 </w:t>
      </w:r>
      <w:r w:rsidR="00B066E7" w:rsidRPr="00F77584">
        <w:rPr>
          <w:lang w:val="ru-RU"/>
        </w:rPr>
        <w:t>691</w:t>
      </w:r>
      <w:r w:rsidR="00B066E7" w:rsidRPr="00EA175D">
        <w:t xml:space="preserve"> 3</w:t>
      </w:r>
      <w:r w:rsidR="00B066E7" w:rsidRPr="00F77584">
        <w:rPr>
          <w:lang w:val="ru-RU"/>
        </w:rPr>
        <w:t>49</w:t>
      </w:r>
      <w:r w:rsidR="000B0A0A" w:rsidRPr="00EA175D">
        <w:t>,</w:t>
      </w:r>
      <w:r w:rsidR="00B066E7" w:rsidRPr="00F77584">
        <w:rPr>
          <w:lang w:val="ru-RU"/>
        </w:rPr>
        <w:t>47</w:t>
      </w:r>
      <w:r w:rsidR="000B0A0A" w:rsidRPr="00EA175D">
        <w:t xml:space="preserve"> евро), в които за изпълнение на дейности по подмярката участват 119 общини</w:t>
      </w:r>
      <w:r w:rsidR="00231597" w:rsidRPr="00EA175D">
        <w:t xml:space="preserve"> с територия 52 561 кв. км. и</w:t>
      </w:r>
      <w:r w:rsidR="000B0A0A" w:rsidRPr="00EA175D">
        <w:t xml:space="preserve"> население от 1 592 743 жители.</w:t>
      </w:r>
    </w:p>
    <w:p w14:paraId="7F6BEDEC" w14:textId="77777777" w:rsidR="00E96E7F" w:rsidRPr="00EA175D" w:rsidRDefault="00EE7EE2" w:rsidP="00EA175D">
      <w:pPr>
        <w:spacing w:line="360" w:lineRule="auto"/>
        <w:ind w:firstLine="567"/>
        <w:jc w:val="both"/>
      </w:pPr>
      <w:r w:rsidRPr="00EA175D">
        <w:t>Успешно преминалите етапа на проверка за административно съответствие и допустимост заявления за изра</w:t>
      </w:r>
      <w:r w:rsidR="00E96E7F" w:rsidRPr="00EA175D">
        <w:t xml:space="preserve">зяване на интерес са следните: </w:t>
      </w:r>
    </w:p>
    <w:p w14:paraId="6A93748A" w14:textId="77777777" w:rsidR="00EE7EE2" w:rsidRPr="00EA175D" w:rsidRDefault="00EE7EE2" w:rsidP="00EA175D">
      <w:pPr>
        <w:spacing w:line="360" w:lineRule="auto"/>
        <w:ind w:firstLine="567"/>
        <w:jc w:val="both"/>
      </w:pPr>
      <w:r w:rsidRPr="00EA175D">
        <w:t>1.</w:t>
      </w:r>
      <w:r w:rsidR="00E96E7F" w:rsidRPr="00EA175D">
        <w:t xml:space="preserve"> </w:t>
      </w:r>
      <w:r w:rsidRPr="00EA175D">
        <w:t xml:space="preserve">Сдружение „Местна инициативна група Троян и Априлци“ </w:t>
      </w:r>
      <w:r w:rsidR="00E96E7F" w:rsidRPr="00EA175D">
        <w:t>–</w:t>
      </w:r>
      <w:r w:rsidRPr="00EA175D">
        <w:t xml:space="preserve"> територията на Община Троян, Община Априлци и Община Угърчин;</w:t>
      </w:r>
    </w:p>
    <w:p w14:paraId="35EAB976" w14:textId="77777777" w:rsidR="00EE7EE2" w:rsidRPr="00EA175D" w:rsidRDefault="00EE7EE2" w:rsidP="00EA175D">
      <w:pPr>
        <w:spacing w:line="360" w:lineRule="auto"/>
        <w:ind w:firstLine="567"/>
        <w:jc w:val="both"/>
      </w:pPr>
      <w:r w:rsidRPr="00EA175D">
        <w:t>2. Сдружение „МИГ Харманли“</w:t>
      </w:r>
      <w:r w:rsidR="00E96E7F" w:rsidRPr="00EA175D">
        <w:t xml:space="preserve"> – </w:t>
      </w:r>
      <w:r w:rsidRPr="00EA175D">
        <w:t>територията на Община Харманли;</w:t>
      </w:r>
    </w:p>
    <w:p w14:paraId="08D9A9DB" w14:textId="77777777" w:rsidR="00EE7EE2" w:rsidRPr="00EA175D" w:rsidRDefault="00EE7EE2" w:rsidP="00EA175D">
      <w:pPr>
        <w:spacing w:line="360" w:lineRule="auto"/>
        <w:ind w:firstLine="567"/>
        <w:jc w:val="both"/>
      </w:pPr>
      <w:r w:rsidRPr="00EA175D">
        <w:t>3.</w:t>
      </w:r>
      <w:r w:rsidR="00E96E7F" w:rsidRPr="00EA175D">
        <w:t xml:space="preserve"> </w:t>
      </w:r>
      <w:r w:rsidRPr="00EA175D">
        <w:t>Община Долна Митрополия</w:t>
      </w:r>
      <w:r w:rsidR="00E96E7F" w:rsidRPr="00EA175D">
        <w:t xml:space="preserve"> –</w:t>
      </w:r>
      <w:r w:rsidRPr="00EA175D">
        <w:t xml:space="preserve"> територията на Община Долна Митрополия  и Община Долни Дъбник;</w:t>
      </w:r>
    </w:p>
    <w:p w14:paraId="2155DCB3" w14:textId="77777777" w:rsidR="00EE7EE2" w:rsidRPr="00EA175D" w:rsidRDefault="00EE7EE2" w:rsidP="00EA175D">
      <w:pPr>
        <w:spacing w:line="360" w:lineRule="auto"/>
        <w:ind w:firstLine="567"/>
        <w:jc w:val="both"/>
      </w:pPr>
      <w:r w:rsidRPr="00EA175D">
        <w:lastRenderedPageBreak/>
        <w:t>4.</w:t>
      </w:r>
      <w:r w:rsidR="00E96E7F" w:rsidRPr="00EA175D">
        <w:t xml:space="preserve"> </w:t>
      </w:r>
      <w:r w:rsidRPr="00EA175D">
        <w:t xml:space="preserve">Община Аврен </w:t>
      </w:r>
      <w:r w:rsidR="00E96E7F" w:rsidRPr="00EA175D">
        <w:t>–</w:t>
      </w:r>
      <w:r w:rsidRPr="00EA175D">
        <w:t xml:space="preserve"> територията на Община Аврен и Община Белослав;</w:t>
      </w:r>
    </w:p>
    <w:p w14:paraId="760083F5" w14:textId="77777777" w:rsidR="00EE7EE2" w:rsidRPr="00EA175D" w:rsidRDefault="00EE7EE2" w:rsidP="00EA175D">
      <w:pPr>
        <w:spacing w:line="360" w:lineRule="auto"/>
        <w:ind w:firstLine="567"/>
        <w:jc w:val="both"/>
      </w:pPr>
      <w:r w:rsidRPr="00EA175D">
        <w:t>5.</w:t>
      </w:r>
      <w:r w:rsidR="00E96E7F" w:rsidRPr="00EA175D">
        <w:t xml:space="preserve"> </w:t>
      </w:r>
      <w:r w:rsidRPr="00EA175D">
        <w:t xml:space="preserve">Община Луковит </w:t>
      </w:r>
      <w:r w:rsidR="00E96E7F" w:rsidRPr="00EA175D">
        <w:t>–</w:t>
      </w:r>
      <w:r w:rsidRPr="00EA175D">
        <w:t xml:space="preserve"> територията на Община Луковит и Община Роман;</w:t>
      </w:r>
    </w:p>
    <w:p w14:paraId="0CD35268" w14:textId="77777777" w:rsidR="00EE7EE2" w:rsidRPr="00EA175D" w:rsidRDefault="00EE7EE2" w:rsidP="00EA175D">
      <w:pPr>
        <w:spacing w:line="360" w:lineRule="auto"/>
        <w:ind w:firstLine="567"/>
        <w:jc w:val="both"/>
      </w:pPr>
      <w:r w:rsidRPr="00EA175D">
        <w:t>6. СНЦ „Местна инициативна група Нови пазар – Каспичан“</w:t>
      </w:r>
      <w:r w:rsidR="004A7DAA" w:rsidRPr="00EA175D">
        <w:t xml:space="preserve"> – </w:t>
      </w:r>
      <w:r w:rsidRPr="00EA175D">
        <w:t>територията на Община Нови пазар и Община Каспичан;</w:t>
      </w:r>
    </w:p>
    <w:p w14:paraId="220D11C3" w14:textId="77777777" w:rsidR="00EE7EE2" w:rsidRPr="00EA175D" w:rsidRDefault="00EE7EE2" w:rsidP="00EA175D">
      <w:pPr>
        <w:spacing w:line="360" w:lineRule="auto"/>
        <w:ind w:firstLine="567"/>
        <w:jc w:val="both"/>
      </w:pPr>
      <w:r w:rsidRPr="00EA175D">
        <w:t xml:space="preserve">7. СНЦ „Местна инициативна група Сливница – Драгоман“ </w:t>
      </w:r>
      <w:r w:rsidR="004A7DAA" w:rsidRPr="00EA175D">
        <w:t xml:space="preserve">– </w:t>
      </w:r>
      <w:r w:rsidRPr="00EA175D">
        <w:t>територията на Община Сливница и Община Драгоман;</w:t>
      </w:r>
    </w:p>
    <w:p w14:paraId="6A6F1F3C" w14:textId="77777777" w:rsidR="00EE7EE2" w:rsidRPr="00EA175D" w:rsidRDefault="00EE7EE2" w:rsidP="00EA175D">
      <w:pPr>
        <w:spacing w:line="360" w:lineRule="auto"/>
        <w:ind w:firstLine="567"/>
        <w:jc w:val="both"/>
      </w:pPr>
      <w:r w:rsidRPr="00EA175D">
        <w:t>8</w:t>
      </w:r>
      <w:r w:rsidRPr="00EA175D">
        <w:tab/>
        <w:t xml:space="preserve">. Община Самоков </w:t>
      </w:r>
      <w:r w:rsidR="004A7DAA" w:rsidRPr="00EA175D">
        <w:t>–</w:t>
      </w:r>
      <w:r w:rsidRPr="00EA175D">
        <w:t xml:space="preserve"> територията на Община Самоков;</w:t>
      </w:r>
    </w:p>
    <w:p w14:paraId="440E1FE2" w14:textId="77777777" w:rsidR="00EE7EE2" w:rsidRPr="00EA175D" w:rsidRDefault="00EE7EE2" w:rsidP="00EA175D">
      <w:pPr>
        <w:spacing w:line="360" w:lineRule="auto"/>
        <w:ind w:firstLine="567"/>
        <w:jc w:val="both"/>
      </w:pPr>
      <w:r w:rsidRPr="00EA175D">
        <w:t>9</w:t>
      </w:r>
      <w:r w:rsidRPr="00EA175D">
        <w:tab/>
        <w:t>. СНЦ „Местна инициативна група – Eлхово“</w:t>
      </w:r>
      <w:r w:rsidR="004A7DAA" w:rsidRPr="00EA175D">
        <w:t xml:space="preserve"> –</w:t>
      </w:r>
      <w:r w:rsidRPr="00EA175D">
        <w:t xml:space="preserve"> територията на Община Елхово и Община Болярово;</w:t>
      </w:r>
    </w:p>
    <w:p w14:paraId="6CE9E7D5" w14:textId="77777777" w:rsidR="00EE7EE2" w:rsidRPr="00EA175D" w:rsidRDefault="00EE7EE2" w:rsidP="00EA175D">
      <w:pPr>
        <w:spacing w:line="360" w:lineRule="auto"/>
        <w:ind w:firstLine="567"/>
        <w:jc w:val="both"/>
      </w:pPr>
      <w:r w:rsidRPr="00EA175D">
        <w:t xml:space="preserve">10. СНЦ „МИГ Чирпан“ </w:t>
      </w:r>
      <w:r w:rsidR="004A7DAA" w:rsidRPr="00EA175D">
        <w:t>–</w:t>
      </w:r>
      <w:r w:rsidRPr="00EA175D">
        <w:t xml:space="preserve"> територията на  Община Чирпан;</w:t>
      </w:r>
    </w:p>
    <w:p w14:paraId="646FC233" w14:textId="77777777" w:rsidR="00EE7EE2" w:rsidRPr="00EA175D" w:rsidRDefault="00EE7EE2" w:rsidP="00EA175D">
      <w:pPr>
        <w:spacing w:line="360" w:lineRule="auto"/>
        <w:ind w:firstLine="567"/>
        <w:jc w:val="both"/>
      </w:pPr>
      <w:r w:rsidRPr="00EA175D">
        <w:t xml:space="preserve">11.СНЦ „Местна инициативна група </w:t>
      </w:r>
      <w:r w:rsidR="004A7DAA" w:rsidRPr="00EA175D">
        <w:t>–</w:t>
      </w:r>
      <w:r w:rsidRPr="00EA175D">
        <w:t xml:space="preserve"> МИГ – Любимец“ </w:t>
      </w:r>
      <w:r w:rsidR="004A7DAA" w:rsidRPr="00EA175D">
        <w:t>–</w:t>
      </w:r>
      <w:r w:rsidRPr="00EA175D">
        <w:t xml:space="preserve"> територията на Община Любимец и Община Ивайловград;</w:t>
      </w:r>
    </w:p>
    <w:p w14:paraId="2E7A070E" w14:textId="77777777" w:rsidR="00EE7EE2" w:rsidRPr="00EA175D" w:rsidRDefault="00EE7EE2" w:rsidP="00EA175D">
      <w:pPr>
        <w:spacing w:line="360" w:lineRule="auto"/>
        <w:ind w:firstLine="567"/>
        <w:jc w:val="both"/>
      </w:pPr>
      <w:r w:rsidRPr="00EA175D">
        <w:t xml:space="preserve">12.МИГ „Общини </w:t>
      </w:r>
      <w:r w:rsidR="004A7DAA" w:rsidRPr="00EA175D">
        <w:t>–</w:t>
      </w:r>
      <w:r w:rsidRPr="00EA175D">
        <w:t xml:space="preserve"> Панагюрище, Стрелча, Лесичово“ </w:t>
      </w:r>
      <w:r w:rsidR="004A7DAA" w:rsidRPr="00EA175D">
        <w:t>–</w:t>
      </w:r>
      <w:r w:rsidRPr="00EA175D">
        <w:t xml:space="preserve"> територията на Община Панагюрище, Община Стрелча, Община Лесичово;</w:t>
      </w:r>
    </w:p>
    <w:p w14:paraId="1A6D667A" w14:textId="77777777" w:rsidR="00EE7EE2" w:rsidRPr="00EA175D" w:rsidRDefault="00EE7EE2" w:rsidP="00EA175D">
      <w:pPr>
        <w:spacing w:line="360" w:lineRule="auto"/>
        <w:ind w:firstLine="567"/>
        <w:jc w:val="both"/>
      </w:pPr>
      <w:r w:rsidRPr="00EA175D">
        <w:t>13. СНЦ „МИГ – Ардино“</w:t>
      </w:r>
      <w:r w:rsidR="002F6859" w:rsidRPr="00EA175D">
        <w:t xml:space="preserve"> –</w:t>
      </w:r>
      <w:r w:rsidRPr="00EA175D">
        <w:t xml:space="preserve"> територията на  Община Ардино и Община Джебел;</w:t>
      </w:r>
    </w:p>
    <w:p w14:paraId="7201073F" w14:textId="77777777" w:rsidR="00EE7EE2" w:rsidRPr="00EA175D" w:rsidRDefault="00EE7EE2" w:rsidP="00EA175D">
      <w:pPr>
        <w:spacing w:line="360" w:lineRule="auto"/>
        <w:ind w:firstLine="567"/>
        <w:jc w:val="both"/>
      </w:pPr>
      <w:r w:rsidRPr="00EA175D">
        <w:t xml:space="preserve">14. СНЦ „МИГ Радомир </w:t>
      </w:r>
      <w:r w:rsidR="002F6859" w:rsidRPr="00EA175D">
        <w:t xml:space="preserve">– </w:t>
      </w:r>
      <w:r w:rsidRPr="00EA175D">
        <w:t>Ковачевци</w:t>
      </w:r>
      <w:r w:rsidR="002F6859" w:rsidRPr="00EA175D">
        <w:t xml:space="preserve"> – </w:t>
      </w:r>
      <w:r w:rsidRPr="00EA175D">
        <w:t xml:space="preserve">Земен“ </w:t>
      </w:r>
      <w:r w:rsidR="002F6859" w:rsidRPr="00EA175D">
        <w:t>–</w:t>
      </w:r>
      <w:r w:rsidRPr="00EA175D">
        <w:t xml:space="preserve"> територията на О</w:t>
      </w:r>
      <w:r w:rsidR="002F6859" w:rsidRPr="00EA175D">
        <w:t xml:space="preserve">бщина Радомир, Община Ковачевци </w:t>
      </w:r>
      <w:r w:rsidRPr="00EA175D">
        <w:t>и Община Земен;</w:t>
      </w:r>
    </w:p>
    <w:p w14:paraId="2C7FED2E" w14:textId="77777777" w:rsidR="00EE7EE2" w:rsidRPr="00EA175D" w:rsidRDefault="00EE7EE2" w:rsidP="00EA175D">
      <w:pPr>
        <w:spacing w:line="360" w:lineRule="auto"/>
        <w:ind w:firstLine="567"/>
        <w:jc w:val="both"/>
      </w:pPr>
      <w:r w:rsidRPr="00EA175D">
        <w:t xml:space="preserve">15. Община Мадан </w:t>
      </w:r>
      <w:r w:rsidR="002F6859" w:rsidRPr="00EA175D">
        <w:t>–</w:t>
      </w:r>
      <w:r w:rsidRPr="00EA175D">
        <w:t xml:space="preserve"> територията на Община Мадан и Община Рудозем;</w:t>
      </w:r>
    </w:p>
    <w:p w14:paraId="42BAC9C3" w14:textId="77777777" w:rsidR="00EE7EE2" w:rsidRPr="00EA175D" w:rsidRDefault="00EE7EE2" w:rsidP="00EA175D">
      <w:pPr>
        <w:spacing w:line="360" w:lineRule="auto"/>
        <w:ind w:firstLine="567"/>
        <w:jc w:val="both"/>
      </w:pPr>
      <w:r w:rsidRPr="00EA175D">
        <w:t xml:space="preserve">16. Фондация „Местна инициативна група – Попово“ </w:t>
      </w:r>
      <w:r w:rsidR="002F6859" w:rsidRPr="00EA175D">
        <w:t>–</w:t>
      </w:r>
      <w:r w:rsidRPr="00EA175D">
        <w:t xml:space="preserve"> територията на Община Попово;</w:t>
      </w:r>
    </w:p>
    <w:p w14:paraId="12DB25B2" w14:textId="77777777" w:rsidR="00EE7EE2" w:rsidRPr="00EA175D" w:rsidRDefault="00EE7EE2" w:rsidP="00EA175D">
      <w:pPr>
        <w:spacing w:line="360" w:lineRule="auto"/>
        <w:ind w:firstLine="567"/>
        <w:jc w:val="both"/>
      </w:pPr>
      <w:r w:rsidRPr="00EA175D">
        <w:t xml:space="preserve">17. Община Минерални бани </w:t>
      </w:r>
      <w:r w:rsidR="002F6859" w:rsidRPr="00EA175D">
        <w:t>–</w:t>
      </w:r>
      <w:r w:rsidRPr="00EA175D">
        <w:t xml:space="preserve"> територията на Община Минерални бани и Община Черноочене;</w:t>
      </w:r>
    </w:p>
    <w:p w14:paraId="7C41C7B2" w14:textId="77777777" w:rsidR="00EE7EE2" w:rsidRPr="00EA175D" w:rsidRDefault="00EE7EE2" w:rsidP="00EA175D">
      <w:pPr>
        <w:spacing w:line="360" w:lineRule="auto"/>
        <w:ind w:firstLine="567"/>
        <w:jc w:val="both"/>
      </w:pPr>
      <w:r w:rsidRPr="00EA175D">
        <w:t>18. СНЦ „Местна инициативна група Ябланица – Правец“ - територията на  Община Ябланица и Община Правец;</w:t>
      </w:r>
    </w:p>
    <w:p w14:paraId="0296F40D" w14:textId="77777777" w:rsidR="00EE7EE2" w:rsidRPr="00EA175D" w:rsidRDefault="00EE7EE2" w:rsidP="00EA175D">
      <w:pPr>
        <w:spacing w:line="360" w:lineRule="auto"/>
        <w:ind w:firstLine="567"/>
        <w:jc w:val="both"/>
      </w:pPr>
      <w:r w:rsidRPr="00EA175D">
        <w:t>19. СНЦ „Местна инициативна група – Раковски“</w:t>
      </w:r>
      <w:r w:rsidR="00F651F6" w:rsidRPr="00EA175D">
        <w:t xml:space="preserve"> –</w:t>
      </w:r>
      <w:r w:rsidRPr="00EA175D">
        <w:t xml:space="preserve"> територията на Община Раковски;</w:t>
      </w:r>
    </w:p>
    <w:p w14:paraId="741D37EA" w14:textId="77777777" w:rsidR="00EE7EE2" w:rsidRPr="00EA175D" w:rsidRDefault="00EE7EE2" w:rsidP="00EA175D">
      <w:pPr>
        <w:spacing w:line="360" w:lineRule="auto"/>
        <w:ind w:firstLine="567"/>
        <w:jc w:val="both"/>
      </w:pPr>
      <w:r w:rsidRPr="00EA175D">
        <w:t xml:space="preserve">20. Община Тополовград </w:t>
      </w:r>
      <w:r w:rsidR="00F651F6" w:rsidRPr="00EA175D">
        <w:t>–</w:t>
      </w:r>
      <w:r w:rsidRPr="00EA175D">
        <w:t xml:space="preserve"> територията на Община Тополовград;</w:t>
      </w:r>
    </w:p>
    <w:p w14:paraId="1FF6F7C2" w14:textId="77777777" w:rsidR="00EE7EE2" w:rsidRPr="00EA175D" w:rsidRDefault="00EE7EE2" w:rsidP="00EA175D">
      <w:pPr>
        <w:spacing w:line="360" w:lineRule="auto"/>
        <w:ind w:firstLine="567"/>
        <w:jc w:val="both"/>
      </w:pPr>
      <w:r w:rsidRPr="00EA175D">
        <w:t xml:space="preserve">21. СНЦ „МИГ Гълъбово 2011“ </w:t>
      </w:r>
      <w:r w:rsidR="00F651F6" w:rsidRPr="00EA175D">
        <w:t>–</w:t>
      </w:r>
      <w:r w:rsidRPr="00EA175D">
        <w:t xml:space="preserve"> територията на Община Гълъбово и Община Опан;</w:t>
      </w:r>
    </w:p>
    <w:p w14:paraId="608B9FAC" w14:textId="77777777" w:rsidR="00EE7EE2" w:rsidRPr="00EA175D" w:rsidRDefault="00EE7EE2" w:rsidP="00EA175D">
      <w:pPr>
        <w:spacing w:line="360" w:lineRule="auto"/>
        <w:ind w:firstLine="567"/>
        <w:jc w:val="both"/>
      </w:pPr>
      <w:r w:rsidRPr="00EA175D">
        <w:lastRenderedPageBreak/>
        <w:t>22. СНЦ „Местна инициативна група – Разлог“</w:t>
      </w:r>
      <w:r w:rsidR="00F651F6" w:rsidRPr="00EA175D">
        <w:t xml:space="preserve"> –</w:t>
      </w:r>
      <w:r w:rsidRPr="00EA175D">
        <w:t xml:space="preserve"> територията на  Община Разлог;</w:t>
      </w:r>
    </w:p>
    <w:p w14:paraId="67796D49" w14:textId="77777777" w:rsidR="00EE7EE2" w:rsidRPr="00EA175D" w:rsidRDefault="00EE7EE2" w:rsidP="00EA175D">
      <w:pPr>
        <w:spacing w:line="360" w:lineRule="auto"/>
        <w:ind w:firstLine="567"/>
        <w:jc w:val="both"/>
      </w:pPr>
      <w:r w:rsidRPr="00EA175D">
        <w:t xml:space="preserve">23. СНЦ „Местна инициативна група </w:t>
      </w:r>
      <w:r w:rsidR="00F651F6" w:rsidRPr="00EA175D">
        <w:t>–</w:t>
      </w:r>
      <w:r w:rsidRPr="00EA175D">
        <w:t xml:space="preserve"> Гоце Делчев“ </w:t>
      </w:r>
      <w:r w:rsidR="00F651F6" w:rsidRPr="00EA175D">
        <w:t>–</w:t>
      </w:r>
      <w:r w:rsidRPr="00EA175D">
        <w:t xml:space="preserve"> територията на Община Гоце Делчев, Община Гърмен и Община Хаджидимово;</w:t>
      </w:r>
    </w:p>
    <w:p w14:paraId="386287A0" w14:textId="77777777" w:rsidR="00EE7EE2" w:rsidRPr="00EA175D" w:rsidRDefault="00EE7EE2" w:rsidP="00EA175D">
      <w:pPr>
        <w:spacing w:line="360" w:lineRule="auto"/>
        <w:ind w:firstLine="567"/>
        <w:jc w:val="both"/>
      </w:pPr>
      <w:r w:rsidRPr="00EA175D">
        <w:t>24.</w:t>
      </w:r>
      <w:r w:rsidR="00F651F6" w:rsidRPr="00EA175D">
        <w:t xml:space="preserve"> </w:t>
      </w:r>
      <w:r w:rsidRPr="00EA175D">
        <w:t xml:space="preserve">СНЦ „Местна инициативна група </w:t>
      </w:r>
      <w:r w:rsidR="00F651F6" w:rsidRPr="00EA175D">
        <w:t>–</w:t>
      </w:r>
      <w:r w:rsidRPr="00EA175D">
        <w:t xml:space="preserve"> Белово, Септември, Велинград“ </w:t>
      </w:r>
      <w:r w:rsidR="00F651F6" w:rsidRPr="00EA175D">
        <w:t>–</w:t>
      </w:r>
      <w:r w:rsidRPr="00EA175D">
        <w:t xml:space="preserve"> територията на  Община Белово, Община Септември и Община Велинград;</w:t>
      </w:r>
    </w:p>
    <w:p w14:paraId="36F9D380" w14:textId="77777777" w:rsidR="00EE7EE2" w:rsidRPr="00EA175D" w:rsidRDefault="00EE7EE2" w:rsidP="00EA175D">
      <w:pPr>
        <w:spacing w:line="360" w:lineRule="auto"/>
        <w:ind w:firstLine="567"/>
        <w:jc w:val="both"/>
      </w:pPr>
      <w:r w:rsidRPr="00EA175D">
        <w:t>25.</w:t>
      </w:r>
      <w:r w:rsidR="00F651F6" w:rsidRPr="00EA175D">
        <w:t xml:space="preserve"> </w:t>
      </w:r>
      <w:r w:rsidRPr="00EA175D">
        <w:t xml:space="preserve">НЧ „Светлина 1907“ </w:t>
      </w:r>
      <w:r w:rsidR="00F651F6" w:rsidRPr="00EA175D">
        <w:t>–</w:t>
      </w:r>
      <w:r w:rsidRPr="00EA175D">
        <w:t xml:space="preserve"> територията на  Община Якоруда и Община Белица;</w:t>
      </w:r>
    </w:p>
    <w:p w14:paraId="2933AF31" w14:textId="77777777" w:rsidR="00EE7EE2" w:rsidRPr="00EA175D" w:rsidRDefault="00EE7EE2" w:rsidP="00EA175D">
      <w:pPr>
        <w:spacing w:line="360" w:lineRule="auto"/>
        <w:ind w:firstLine="567"/>
        <w:jc w:val="both"/>
      </w:pPr>
      <w:r w:rsidRPr="00EA175D">
        <w:t xml:space="preserve">26. Община Нова Загора </w:t>
      </w:r>
      <w:r w:rsidR="00F651F6" w:rsidRPr="00EA175D">
        <w:t xml:space="preserve">за </w:t>
      </w:r>
      <w:r w:rsidRPr="00EA175D">
        <w:t>територията на Община Нова Загора;</w:t>
      </w:r>
    </w:p>
    <w:p w14:paraId="3ED4AE89" w14:textId="77777777" w:rsidR="00EE7EE2" w:rsidRPr="00EA175D" w:rsidRDefault="00EE7EE2" w:rsidP="00EA175D">
      <w:pPr>
        <w:spacing w:line="360" w:lineRule="auto"/>
        <w:ind w:firstLine="567"/>
        <w:jc w:val="both"/>
      </w:pPr>
      <w:r w:rsidRPr="00EA175D">
        <w:t>27. Сдружение „Местна инициативна група – Тетевен“ територията на Община Тетевен</w:t>
      </w:r>
      <w:r w:rsidR="00F651F6" w:rsidRPr="00EA175D">
        <w:t>;</w:t>
      </w:r>
    </w:p>
    <w:p w14:paraId="00389F68" w14:textId="77777777" w:rsidR="00EE7EE2" w:rsidRPr="00EA175D" w:rsidRDefault="00EE7EE2" w:rsidP="00EA175D">
      <w:pPr>
        <w:spacing w:line="360" w:lineRule="auto"/>
        <w:ind w:firstLine="567"/>
        <w:jc w:val="both"/>
      </w:pPr>
      <w:r w:rsidRPr="00EA175D">
        <w:t xml:space="preserve">28. Община Марица </w:t>
      </w:r>
      <w:r w:rsidR="00F651F6" w:rsidRPr="00EA175D">
        <w:t xml:space="preserve">– </w:t>
      </w:r>
      <w:r w:rsidRPr="00EA175D">
        <w:t>територията на Община Марица;</w:t>
      </w:r>
    </w:p>
    <w:p w14:paraId="1747FFE6" w14:textId="77777777" w:rsidR="00EE7EE2" w:rsidRPr="00EA175D" w:rsidRDefault="00EE7EE2" w:rsidP="00EA175D">
      <w:pPr>
        <w:spacing w:line="360" w:lineRule="auto"/>
        <w:ind w:firstLine="567"/>
        <w:jc w:val="both"/>
      </w:pPr>
      <w:r w:rsidRPr="00EA175D">
        <w:t xml:space="preserve">29. СНЦ „Местна инициативна група – Тунджа“ </w:t>
      </w:r>
      <w:r w:rsidR="00F651F6" w:rsidRPr="00EA175D">
        <w:t>–</w:t>
      </w:r>
      <w:r w:rsidRPr="00EA175D">
        <w:t xml:space="preserve"> територията на Община Тунджа</w:t>
      </w:r>
      <w:r w:rsidR="00F651F6" w:rsidRPr="00EA175D">
        <w:t>;</w:t>
      </w:r>
    </w:p>
    <w:p w14:paraId="4030C6FD" w14:textId="77777777" w:rsidR="00EE7EE2" w:rsidRPr="00EA175D" w:rsidRDefault="00EE7EE2" w:rsidP="00EA175D">
      <w:pPr>
        <w:spacing w:line="360" w:lineRule="auto"/>
        <w:ind w:firstLine="567"/>
        <w:jc w:val="both"/>
      </w:pPr>
      <w:r w:rsidRPr="00EA175D">
        <w:t xml:space="preserve">30. СНЦ „Местна инициативна група </w:t>
      </w:r>
      <w:r w:rsidR="00F651F6" w:rsidRPr="00EA175D">
        <w:t>–</w:t>
      </w:r>
      <w:r w:rsidRPr="00EA175D">
        <w:t xml:space="preserve"> Долни чифлик и Бяла“</w:t>
      </w:r>
      <w:r w:rsidR="00F651F6" w:rsidRPr="00EA175D">
        <w:t xml:space="preserve"> – </w:t>
      </w:r>
      <w:r w:rsidRPr="00EA175D">
        <w:t xml:space="preserve">територията на Община Долни чифлик и Община Бяла; </w:t>
      </w:r>
    </w:p>
    <w:p w14:paraId="2A4EB51B" w14:textId="77777777" w:rsidR="00EE7EE2" w:rsidRPr="00EA175D" w:rsidRDefault="00EE7EE2" w:rsidP="00EA175D">
      <w:pPr>
        <w:spacing w:line="360" w:lineRule="auto"/>
        <w:ind w:firstLine="567"/>
        <w:jc w:val="both"/>
      </w:pPr>
      <w:r w:rsidRPr="00EA175D">
        <w:t xml:space="preserve">31.Община Мъглиж </w:t>
      </w:r>
      <w:r w:rsidR="00F651F6" w:rsidRPr="00EA175D">
        <w:t>–</w:t>
      </w:r>
      <w:r w:rsidRPr="00EA175D">
        <w:t xml:space="preserve"> т</w:t>
      </w:r>
      <w:r w:rsidR="00F651F6" w:rsidRPr="00EA175D">
        <w:t xml:space="preserve">ериторията на </w:t>
      </w:r>
      <w:r w:rsidRPr="00EA175D">
        <w:t>Община Мъглиж, Община Казанлък, Община Гурково</w:t>
      </w:r>
      <w:r w:rsidR="00F651F6" w:rsidRPr="00EA175D">
        <w:t>;</w:t>
      </w:r>
    </w:p>
    <w:p w14:paraId="288686A8" w14:textId="77777777" w:rsidR="00EE7EE2" w:rsidRPr="00EA175D" w:rsidRDefault="00EE7EE2" w:rsidP="00EA175D">
      <w:pPr>
        <w:spacing w:line="360" w:lineRule="auto"/>
        <w:ind w:firstLine="567"/>
        <w:jc w:val="both"/>
      </w:pPr>
      <w:r w:rsidRPr="00EA175D">
        <w:t>32. Община Царево</w:t>
      </w:r>
      <w:r w:rsidR="00576970" w:rsidRPr="00EA175D">
        <w:t xml:space="preserve"> –</w:t>
      </w:r>
      <w:r w:rsidRPr="00EA175D">
        <w:t xml:space="preserve"> територията на Община Царево, Община Малко Търново; </w:t>
      </w:r>
    </w:p>
    <w:p w14:paraId="4BE89733" w14:textId="77777777" w:rsidR="00EE7EE2" w:rsidRPr="00EA175D" w:rsidRDefault="00EE7EE2" w:rsidP="00EA175D">
      <w:pPr>
        <w:spacing w:line="360" w:lineRule="auto"/>
        <w:ind w:firstLine="567"/>
        <w:jc w:val="both"/>
      </w:pPr>
      <w:r w:rsidRPr="00EA175D">
        <w:t>33. СНЦ „ДУЛОСУ“</w:t>
      </w:r>
      <w:r w:rsidR="00576970" w:rsidRPr="00EA175D">
        <w:t xml:space="preserve"> –</w:t>
      </w:r>
      <w:r w:rsidRPr="00EA175D">
        <w:t xml:space="preserve"> територията на</w:t>
      </w:r>
      <w:r w:rsidR="00576970" w:rsidRPr="00EA175D">
        <w:t xml:space="preserve"> </w:t>
      </w:r>
      <w:r w:rsidRPr="00EA175D">
        <w:t>Община Дулово, Община Алфатар, Община Кайнарджа</w:t>
      </w:r>
      <w:r w:rsidR="00576970" w:rsidRPr="00EA175D">
        <w:t>;</w:t>
      </w:r>
    </w:p>
    <w:p w14:paraId="34FD53E6" w14:textId="77777777" w:rsidR="00EE7EE2" w:rsidRPr="00EA175D" w:rsidRDefault="00EE7EE2" w:rsidP="00EA175D">
      <w:pPr>
        <w:spacing w:line="360" w:lineRule="auto"/>
        <w:ind w:firstLine="567"/>
        <w:jc w:val="both"/>
      </w:pPr>
      <w:r w:rsidRPr="00EA175D">
        <w:t xml:space="preserve">34. СНЦ „Местна инициативна група Средец“ </w:t>
      </w:r>
      <w:r w:rsidR="00576970" w:rsidRPr="00EA175D">
        <w:t>–</w:t>
      </w:r>
      <w:r w:rsidRPr="00EA175D">
        <w:t xml:space="preserve"> територията на Община Средец;</w:t>
      </w:r>
    </w:p>
    <w:p w14:paraId="75886642" w14:textId="77777777" w:rsidR="00EE7EE2" w:rsidRPr="00EA175D" w:rsidRDefault="00EE7EE2" w:rsidP="00EA175D">
      <w:pPr>
        <w:spacing w:line="360" w:lineRule="auto"/>
        <w:ind w:firstLine="567"/>
        <w:jc w:val="both"/>
      </w:pPr>
      <w:r w:rsidRPr="00EA175D">
        <w:t>35. Сдружение „МИГ Тервел – Крушари“</w:t>
      </w:r>
      <w:r w:rsidR="00576970" w:rsidRPr="00EA175D">
        <w:t xml:space="preserve"> –</w:t>
      </w:r>
      <w:r w:rsidRPr="00EA175D">
        <w:t xml:space="preserve"> територията на Община Тервел и Община Крушари;</w:t>
      </w:r>
    </w:p>
    <w:p w14:paraId="0CC7EBAA" w14:textId="77777777" w:rsidR="00EE7EE2" w:rsidRPr="00EA175D" w:rsidRDefault="00EE7EE2" w:rsidP="00EA175D">
      <w:pPr>
        <w:spacing w:line="360" w:lineRule="auto"/>
        <w:ind w:firstLine="567"/>
        <w:jc w:val="both"/>
      </w:pPr>
      <w:r w:rsidRPr="00EA175D">
        <w:t>36. СНЦ „Местна инициативна група Исперих“</w:t>
      </w:r>
      <w:r w:rsidR="00576970" w:rsidRPr="00EA175D">
        <w:t xml:space="preserve"> – </w:t>
      </w:r>
      <w:r w:rsidRPr="00EA175D">
        <w:t>територията на Община Исперих;</w:t>
      </w:r>
    </w:p>
    <w:p w14:paraId="6CA88BA2" w14:textId="77777777" w:rsidR="00EE7EE2" w:rsidRPr="00EA175D" w:rsidRDefault="00EE7EE2" w:rsidP="00EA175D">
      <w:pPr>
        <w:spacing w:line="360" w:lineRule="auto"/>
        <w:ind w:firstLine="567"/>
        <w:jc w:val="both"/>
      </w:pPr>
      <w:r w:rsidRPr="00EA175D">
        <w:t>37. Община Стралджа територията на Община Стралджа;</w:t>
      </w:r>
    </w:p>
    <w:p w14:paraId="1901AC82" w14:textId="77777777" w:rsidR="00EE7EE2" w:rsidRPr="00EA175D" w:rsidRDefault="00EE7EE2" w:rsidP="00EA175D">
      <w:pPr>
        <w:spacing w:line="360" w:lineRule="auto"/>
        <w:ind w:firstLine="567"/>
        <w:jc w:val="both"/>
      </w:pPr>
      <w:r w:rsidRPr="00EA175D">
        <w:t>38. Община Поморие територията на Община Поморие;</w:t>
      </w:r>
    </w:p>
    <w:p w14:paraId="7043A501" w14:textId="77777777" w:rsidR="00EE7EE2" w:rsidRPr="00EA175D" w:rsidRDefault="00EE7EE2" w:rsidP="00EA175D">
      <w:pPr>
        <w:spacing w:line="360" w:lineRule="auto"/>
        <w:ind w:firstLine="567"/>
        <w:jc w:val="both"/>
      </w:pPr>
      <w:r w:rsidRPr="00EA175D">
        <w:t xml:space="preserve">39. СНЦ „Местна инициативна група Завет“ </w:t>
      </w:r>
      <w:r w:rsidR="00576970" w:rsidRPr="00EA175D">
        <w:t>–</w:t>
      </w:r>
      <w:r w:rsidRPr="00EA175D">
        <w:t xml:space="preserve"> територията на Община Завет и Община Кубрат;</w:t>
      </w:r>
    </w:p>
    <w:p w14:paraId="6E1E16E4" w14:textId="77777777" w:rsidR="00EE7EE2" w:rsidRPr="00EA175D" w:rsidRDefault="00EE7EE2" w:rsidP="00EA175D">
      <w:pPr>
        <w:spacing w:line="360" w:lineRule="auto"/>
        <w:ind w:firstLine="567"/>
        <w:jc w:val="both"/>
      </w:pPr>
      <w:r w:rsidRPr="00EA175D">
        <w:t xml:space="preserve">40. Община Хисаря </w:t>
      </w:r>
      <w:r w:rsidR="00576970" w:rsidRPr="00EA175D">
        <w:t>–</w:t>
      </w:r>
      <w:r w:rsidRPr="00EA175D">
        <w:t xml:space="preserve"> територията на Община Хисаря;</w:t>
      </w:r>
    </w:p>
    <w:p w14:paraId="136108AA" w14:textId="77777777" w:rsidR="00EE7EE2" w:rsidRPr="00EA175D" w:rsidRDefault="00EE7EE2" w:rsidP="00EA175D">
      <w:pPr>
        <w:spacing w:line="360" w:lineRule="auto"/>
        <w:ind w:firstLine="567"/>
        <w:jc w:val="both"/>
      </w:pPr>
      <w:r w:rsidRPr="00EA175D">
        <w:t xml:space="preserve">41. СНЦ „Местна инициативна група Костенец 2010“ </w:t>
      </w:r>
      <w:r w:rsidR="00576970" w:rsidRPr="00EA175D">
        <w:t>–</w:t>
      </w:r>
      <w:r w:rsidRPr="00EA175D">
        <w:t xml:space="preserve"> територията на Община Костенец; </w:t>
      </w:r>
    </w:p>
    <w:p w14:paraId="0C962186" w14:textId="77777777" w:rsidR="00EE7EE2" w:rsidRPr="00EA175D" w:rsidRDefault="00EE7EE2" w:rsidP="00EA175D">
      <w:pPr>
        <w:spacing w:line="360" w:lineRule="auto"/>
        <w:ind w:firstLine="567"/>
        <w:jc w:val="both"/>
      </w:pPr>
      <w:r w:rsidRPr="00EA175D">
        <w:lastRenderedPageBreak/>
        <w:t xml:space="preserve">42. СНЦ „Местна инициативна група Сандански </w:t>
      </w:r>
      <w:r w:rsidR="00576970" w:rsidRPr="00EA175D">
        <w:t>–</w:t>
      </w:r>
      <w:r w:rsidRPr="00EA175D">
        <w:t xml:space="preserve"> МИГ Сандански“ </w:t>
      </w:r>
      <w:r w:rsidR="00576970" w:rsidRPr="00EA175D">
        <w:t>–</w:t>
      </w:r>
      <w:r w:rsidRPr="00EA175D">
        <w:t xml:space="preserve"> територията на Община Сандански;</w:t>
      </w:r>
    </w:p>
    <w:p w14:paraId="7690DB42" w14:textId="77777777" w:rsidR="00EE7EE2" w:rsidRPr="00EA175D" w:rsidRDefault="00EE7EE2" w:rsidP="00EA175D">
      <w:pPr>
        <w:spacing w:line="360" w:lineRule="auto"/>
        <w:ind w:firstLine="567"/>
        <w:jc w:val="both"/>
      </w:pPr>
      <w:r w:rsidRPr="00EA175D">
        <w:t xml:space="preserve">43. СНЦ „Местна инициативна група Възход“ </w:t>
      </w:r>
      <w:r w:rsidR="00576970" w:rsidRPr="00EA175D">
        <w:t>–</w:t>
      </w:r>
      <w:r w:rsidRPr="00EA175D">
        <w:t xml:space="preserve"> територията на Община Провадия, Община Ветрино, Община Вълчи дол;</w:t>
      </w:r>
    </w:p>
    <w:p w14:paraId="2E385B0E" w14:textId="77777777" w:rsidR="00EE7EE2" w:rsidRPr="00EA175D" w:rsidRDefault="00EE7EE2" w:rsidP="00EA175D">
      <w:pPr>
        <w:spacing w:line="360" w:lineRule="auto"/>
        <w:ind w:firstLine="567"/>
        <w:jc w:val="both"/>
      </w:pPr>
      <w:r w:rsidRPr="00EA175D">
        <w:t xml:space="preserve">44. СНЦ „Местна инициативна група Лясковец – Стражица“ </w:t>
      </w:r>
      <w:r w:rsidR="00576970" w:rsidRPr="00EA175D">
        <w:t>–</w:t>
      </w:r>
      <w:r w:rsidRPr="00EA175D">
        <w:t xml:space="preserve"> територията на Община Лясковец, Община Стражица;</w:t>
      </w:r>
    </w:p>
    <w:p w14:paraId="4309E71A" w14:textId="77777777" w:rsidR="00EE7EE2" w:rsidRPr="00EA175D" w:rsidRDefault="00EE7EE2" w:rsidP="00EA175D">
      <w:pPr>
        <w:spacing w:line="360" w:lineRule="auto"/>
        <w:ind w:firstLine="567"/>
        <w:jc w:val="both"/>
      </w:pPr>
      <w:r w:rsidRPr="00EA175D">
        <w:t>45.</w:t>
      </w:r>
      <w:r w:rsidR="00576970" w:rsidRPr="00EA175D">
        <w:t xml:space="preserve"> </w:t>
      </w:r>
      <w:r w:rsidRPr="00EA175D">
        <w:t xml:space="preserve">СНЦ „Местна инициативна група </w:t>
      </w:r>
      <w:r w:rsidR="00576970" w:rsidRPr="00EA175D">
        <w:t>–</w:t>
      </w:r>
      <w:r w:rsidRPr="00EA175D">
        <w:t xml:space="preserve"> Община Левски, Летница и Пордим“</w:t>
      </w:r>
      <w:r w:rsidR="00576970" w:rsidRPr="00EA175D">
        <w:t xml:space="preserve"> –</w:t>
      </w:r>
      <w:r w:rsidRPr="00EA175D">
        <w:t xml:space="preserve"> територията на Община Левски, Община Летница, Община Пордим;</w:t>
      </w:r>
    </w:p>
    <w:p w14:paraId="6DF3A111" w14:textId="77777777" w:rsidR="00EE7EE2" w:rsidRPr="00EA175D" w:rsidRDefault="00EE7EE2" w:rsidP="00EA175D">
      <w:pPr>
        <w:spacing w:line="360" w:lineRule="auto"/>
        <w:ind w:firstLine="567"/>
        <w:jc w:val="both"/>
      </w:pPr>
      <w:r w:rsidRPr="00EA175D">
        <w:t>46.</w:t>
      </w:r>
      <w:r w:rsidR="00576970" w:rsidRPr="00EA175D">
        <w:t xml:space="preserve"> „</w:t>
      </w:r>
      <w:r w:rsidRPr="00EA175D">
        <w:t>Местна инициативна група Берковица – Годеч“</w:t>
      </w:r>
      <w:r w:rsidR="00AE3598" w:rsidRPr="00EA175D">
        <w:t xml:space="preserve"> –</w:t>
      </w:r>
      <w:r w:rsidRPr="00EA175D">
        <w:t xml:space="preserve"> територията на Община Берковица, Община Годеч;</w:t>
      </w:r>
    </w:p>
    <w:p w14:paraId="3676F419" w14:textId="77777777" w:rsidR="00EE7EE2" w:rsidRPr="00EA175D" w:rsidRDefault="00EE7EE2" w:rsidP="00EA175D">
      <w:pPr>
        <w:spacing w:line="360" w:lineRule="auto"/>
        <w:ind w:firstLine="567"/>
        <w:jc w:val="both"/>
      </w:pPr>
      <w:r w:rsidRPr="00EA175D">
        <w:t>47. Община Котел територията на Община Котел;</w:t>
      </w:r>
    </w:p>
    <w:p w14:paraId="0C7F44B8" w14:textId="77777777" w:rsidR="00EE7EE2" w:rsidRPr="00EA175D" w:rsidRDefault="00EE7EE2" w:rsidP="00EA175D">
      <w:pPr>
        <w:spacing w:line="360" w:lineRule="auto"/>
        <w:ind w:firstLine="567"/>
        <w:jc w:val="both"/>
      </w:pPr>
      <w:r w:rsidRPr="00EA175D">
        <w:t>48. СНЦ „МИГ Девня – Аксаково“</w:t>
      </w:r>
      <w:r w:rsidR="00F82DB9" w:rsidRPr="00EA175D">
        <w:t xml:space="preserve"> –</w:t>
      </w:r>
      <w:r w:rsidRPr="00EA175D">
        <w:t xml:space="preserve"> територията на Община Девня и Община Аксаково</w:t>
      </w:r>
      <w:r w:rsidR="00F82DB9" w:rsidRPr="00EA175D">
        <w:t>;</w:t>
      </w:r>
    </w:p>
    <w:p w14:paraId="097BEDF6" w14:textId="77777777" w:rsidR="00EE7EE2" w:rsidRPr="00EA175D" w:rsidRDefault="00EE7EE2" w:rsidP="00EA175D">
      <w:pPr>
        <w:spacing w:line="360" w:lineRule="auto"/>
        <w:ind w:firstLine="567"/>
        <w:jc w:val="both"/>
      </w:pPr>
      <w:r w:rsidRPr="00EA175D">
        <w:t>49.</w:t>
      </w:r>
      <w:r w:rsidR="00F82DB9" w:rsidRPr="00EA175D">
        <w:t xml:space="preserve"> </w:t>
      </w:r>
      <w:r w:rsidRPr="00EA175D">
        <w:t xml:space="preserve">Община Балчик </w:t>
      </w:r>
      <w:r w:rsidR="00F82DB9" w:rsidRPr="00EA175D">
        <w:t>–</w:t>
      </w:r>
      <w:r w:rsidRPr="00EA175D">
        <w:t xml:space="preserve"> територията на Община Балчик и</w:t>
      </w:r>
      <w:r w:rsidR="00F82DB9" w:rsidRPr="00EA175D">
        <w:t xml:space="preserve"> </w:t>
      </w:r>
      <w:r w:rsidRPr="00EA175D">
        <w:t>Община Генерал Тошево;</w:t>
      </w:r>
    </w:p>
    <w:p w14:paraId="7264A2CC" w14:textId="77777777" w:rsidR="00EE7EE2" w:rsidRPr="00EA175D" w:rsidRDefault="00EE7EE2" w:rsidP="00EA175D">
      <w:pPr>
        <w:spacing w:line="360" w:lineRule="auto"/>
        <w:ind w:firstLine="567"/>
        <w:jc w:val="both"/>
      </w:pPr>
      <w:r w:rsidRPr="00EA175D">
        <w:t>50.</w:t>
      </w:r>
      <w:r w:rsidR="00F82DB9" w:rsidRPr="00EA175D">
        <w:t xml:space="preserve"> </w:t>
      </w:r>
      <w:r w:rsidRPr="00EA175D">
        <w:t>Сдружение „Местна инициативна група Високи Западни Родопи“</w:t>
      </w:r>
      <w:r w:rsidR="00F82DB9" w:rsidRPr="00EA175D">
        <w:t xml:space="preserve"> –</w:t>
      </w:r>
      <w:r w:rsidRPr="00EA175D">
        <w:t xml:space="preserve"> територията на Община Доспат,</w:t>
      </w:r>
      <w:r w:rsidR="00F82DB9" w:rsidRPr="00EA175D">
        <w:t xml:space="preserve"> </w:t>
      </w:r>
      <w:r w:rsidRPr="00EA175D">
        <w:t>Община Борино, Община Сърница;</w:t>
      </w:r>
    </w:p>
    <w:p w14:paraId="19C6614D" w14:textId="77777777" w:rsidR="00EE7EE2" w:rsidRPr="00EA175D" w:rsidRDefault="00EE7EE2" w:rsidP="00EA175D">
      <w:pPr>
        <w:spacing w:line="360" w:lineRule="auto"/>
        <w:ind w:firstLine="567"/>
        <w:jc w:val="both"/>
      </w:pPr>
      <w:r w:rsidRPr="00EA175D">
        <w:t>51.</w:t>
      </w:r>
      <w:r w:rsidR="00F82DB9" w:rsidRPr="00EA175D">
        <w:t xml:space="preserve"> </w:t>
      </w:r>
      <w:r w:rsidRPr="00EA175D">
        <w:t xml:space="preserve">Община Кула </w:t>
      </w:r>
      <w:r w:rsidR="00F82DB9" w:rsidRPr="00EA175D">
        <w:t>–</w:t>
      </w:r>
      <w:r w:rsidRPr="00EA175D">
        <w:t xml:space="preserve"> територията на Община Кула,Община Бойница, Община Брегово</w:t>
      </w:r>
      <w:r w:rsidR="00F82DB9" w:rsidRPr="00EA175D">
        <w:t>;</w:t>
      </w:r>
    </w:p>
    <w:p w14:paraId="6A8F7DBE" w14:textId="77777777" w:rsidR="00EE7EE2" w:rsidRPr="00EA175D" w:rsidRDefault="00EE7EE2" w:rsidP="00EA175D">
      <w:pPr>
        <w:spacing w:line="360" w:lineRule="auto"/>
        <w:ind w:firstLine="567"/>
        <w:jc w:val="both"/>
      </w:pPr>
      <w:r w:rsidRPr="00EA175D">
        <w:t>52.</w:t>
      </w:r>
      <w:r w:rsidR="00F82DB9" w:rsidRPr="00EA175D">
        <w:t xml:space="preserve"> </w:t>
      </w:r>
      <w:r w:rsidRPr="00EA175D">
        <w:t>Община Съединение</w:t>
      </w:r>
      <w:r w:rsidR="00E4316E" w:rsidRPr="00F77584">
        <w:rPr>
          <w:lang w:val="ru-RU"/>
        </w:rPr>
        <w:t>*</w:t>
      </w:r>
      <w:r w:rsidRPr="00EA175D">
        <w:t xml:space="preserve"> </w:t>
      </w:r>
      <w:r w:rsidR="00F82DB9" w:rsidRPr="00EA175D">
        <w:t>–</w:t>
      </w:r>
      <w:r w:rsidRPr="00EA175D">
        <w:t xml:space="preserve"> територията на Община Съединение;</w:t>
      </w:r>
    </w:p>
    <w:p w14:paraId="1DD7D9C3" w14:textId="77777777" w:rsidR="00EE7EE2" w:rsidRPr="00EA175D" w:rsidRDefault="00EE7EE2" w:rsidP="00EA175D">
      <w:pPr>
        <w:spacing w:line="360" w:lineRule="auto"/>
        <w:ind w:firstLine="567"/>
        <w:jc w:val="both"/>
      </w:pPr>
      <w:r w:rsidRPr="00EA175D">
        <w:t>53.</w:t>
      </w:r>
      <w:r w:rsidR="00F82DB9" w:rsidRPr="00EA175D">
        <w:t xml:space="preserve"> </w:t>
      </w:r>
      <w:r w:rsidRPr="00EA175D">
        <w:t xml:space="preserve">СНЦ „Местна инициативна група – Айтос“ </w:t>
      </w:r>
      <w:r w:rsidR="00F82DB9" w:rsidRPr="00EA175D">
        <w:t>–</w:t>
      </w:r>
      <w:r w:rsidRPr="00EA175D">
        <w:t xml:space="preserve"> територията на Община Айтос;</w:t>
      </w:r>
    </w:p>
    <w:p w14:paraId="7CC9CB5A" w14:textId="77777777" w:rsidR="00EE7EE2" w:rsidRPr="00EA175D" w:rsidRDefault="00EE7EE2" w:rsidP="00EA175D">
      <w:pPr>
        <w:spacing w:line="360" w:lineRule="auto"/>
        <w:ind w:firstLine="567"/>
        <w:jc w:val="both"/>
      </w:pPr>
      <w:r w:rsidRPr="00EA175D">
        <w:t>54.</w:t>
      </w:r>
      <w:r w:rsidR="00F82DB9" w:rsidRPr="00EA175D">
        <w:t xml:space="preserve"> </w:t>
      </w:r>
      <w:r w:rsidRPr="00EA175D">
        <w:t>Община Елена</w:t>
      </w:r>
      <w:r w:rsidR="00F82DB9" w:rsidRPr="00EA175D">
        <w:t xml:space="preserve"> –</w:t>
      </w:r>
      <w:r w:rsidRPr="00EA175D">
        <w:t xml:space="preserve"> територията на Община Елена и Община Златарица;</w:t>
      </w:r>
    </w:p>
    <w:p w14:paraId="648B40C4" w14:textId="77777777" w:rsidR="00EE7EE2" w:rsidRPr="00EA175D" w:rsidRDefault="00EE7EE2" w:rsidP="00EA175D">
      <w:pPr>
        <w:spacing w:line="360" w:lineRule="auto"/>
        <w:ind w:firstLine="567"/>
        <w:jc w:val="both"/>
      </w:pPr>
      <w:r w:rsidRPr="00EA175D">
        <w:t>55. Община Мездра територията на Община Мездра;</w:t>
      </w:r>
    </w:p>
    <w:p w14:paraId="4D408FD2" w14:textId="77777777" w:rsidR="00EE7EE2" w:rsidRPr="00EA175D" w:rsidRDefault="00EE7EE2" w:rsidP="00EA175D">
      <w:pPr>
        <w:spacing w:line="360" w:lineRule="auto"/>
        <w:ind w:firstLine="567"/>
        <w:jc w:val="both"/>
      </w:pPr>
      <w:r w:rsidRPr="00EA175D">
        <w:t xml:space="preserve">56. Община Гулянци територията на Община </w:t>
      </w:r>
      <w:r w:rsidR="002C48E9" w:rsidRPr="00EA175D">
        <w:t>Гулянци</w:t>
      </w:r>
      <w:r w:rsidRPr="00EA175D">
        <w:t xml:space="preserve">; </w:t>
      </w:r>
    </w:p>
    <w:p w14:paraId="40DA455A" w14:textId="77777777" w:rsidR="00EE7EE2" w:rsidRPr="00EA175D" w:rsidRDefault="00EE7EE2" w:rsidP="00EA175D">
      <w:pPr>
        <w:spacing w:line="360" w:lineRule="auto"/>
        <w:ind w:firstLine="567"/>
        <w:jc w:val="both"/>
      </w:pPr>
      <w:r w:rsidRPr="00EA175D">
        <w:t>57.</w:t>
      </w:r>
      <w:r w:rsidR="00F82DB9" w:rsidRPr="00EA175D">
        <w:t xml:space="preserve"> </w:t>
      </w:r>
      <w:r w:rsidRPr="00EA175D">
        <w:t xml:space="preserve">Сдружение „Местна инициативна група Каварна“ </w:t>
      </w:r>
      <w:r w:rsidR="00F82DB9" w:rsidRPr="00EA175D">
        <w:t>–</w:t>
      </w:r>
      <w:r w:rsidRPr="00EA175D">
        <w:t xml:space="preserve"> територията на Община Каварна и Община Шабла;</w:t>
      </w:r>
    </w:p>
    <w:p w14:paraId="10A37446" w14:textId="77777777" w:rsidR="00EE7EE2" w:rsidRPr="00EA175D" w:rsidRDefault="00EE7EE2" w:rsidP="00EA175D">
      <w:pPr>
        <w:spacing w:line="360" w:lineRule="auto"/>
        <w:ind w:firstLine="567"/>
        <w:jc w:val="both"/>
      </w:pPr>
      <w:r w:rsidRPr="00EA175D">
        <w:t>58.</w:t>
      </w:r>
      <w:r w:rsidR="00F82DB9" w:rsidRPr="00EA175D">
        <w:t xml:space="preserve"> </w:t>
      </w:r>
      <w:r w:rsidRPr="00EA175D">
        <w:t>Сдружение „Местна инициативна група Брезово, Братя Даскалови“</w:t>
      </w:r>
      <w:r w:rsidR="00F82DB9" w:rsidRPr="00EA175D">
        <w:t xml:space="preserve"> – </w:t>
      </w:r>
      <w:r w:rsidRPr="00EA175D">
        <w:t>територията на Община Брезово, Община Братя Даскалови;</w:t>
      </w:r>
    </w:p>
    <w:p w14:paraId="69B06E74" w14:textId="77777777" w:rsidR="00EE7EE2" w:rsidRPr="00EA175D" w:rsidRDefault="00EE7EE2" w:rsidP="00EA175D">
      <w:pPr>
        <w:spacing w:line="360" w:lineRule="auto"/>
        <w:ind w:firstLine="567"/>
        <w:jc w:val="both"/>
      </w:pPr>
      <w:r w:rsidRPr="00EA175D">
        <w:t>59. СНЦ „МИГ Тракийско</w:t>
      </w:r>
      <w:r w:rsidR="00F82DB9" w:rsidRPr="00EA175D">
        <w:t xml:space="preserve"> – </w:t>
      </w:r>
      <w:r w:rsidRPr="00EA175D">
        <w:t>Родопска яка“ територията на Община Родопи и Община Перущица</w:t>
      </w:r>
      <w:r w:rsidR="00F82DB9" w:rsidRPr="00EA175D">
        <w:t>;</w:t>
      </w:r>
    </w:p>
    <w:p w14:paraId="308A4DDB" w14:textId="77777777" w:rsidR="00EE7EE2" w:rsidRPr="00EA175D" w:rsidRDefault="00EE7EE2" w:rsidP="00EA175D">
      <w:pPr>
        <w:spacing w:line="360" w:lineRule="auto"/>
        <w:ind w:firstLine="567"/>
        <w:jc w:val="both"/>
      </w:pPr>
      <w:r w:rsidRPr="00EA175D">
        <w:lastRenderedPageBreak/>
        <w:t xml:space="preserve">60. Сдружение „МИГ Преспа </w:t>
      </w:r>
      <w:r w:rsidR="00F82DB9" w:rsidRPr="00EA175D">
        <w:t>–</w:t>
      </w:r>
      <w:r w:rsidRPr="00EA175D">
        <w:t xml:space="preserve"> община Баните, Лъки и Чепеларе“</w:t>
      </w:r>
      <w:r w:rsidR="00F82DB9" w:rsidRPr="00EA175D">
        <w:t xml:space="preserve"> –</w:t>
      </w:r>
      <w:r w:rsidRPr="00EA175D">
        <w:t xml:space="preserve"> територията на </w:t>
      </w:r>
      <w:r w:rsidR="00F82DB9" w:rsidRPr="00EA175D">
        <w:t>О</w:t>
      </w:r>
      <w:r w:rsidRPr="00EA175D">
        <w:t>бщина Баните, Община Лъки, Община Чепеларе;</w:t>
      </w:r>
    </w:p>
    <w:p w14:paraId="44D98BBF" w14:textId="77777777" w:rsidR="00EE7EE2" w:rsidRPr="00EA175D" w:rsidRDefault="00EE7EE2" w:rsidP="00EA175D">
      <w:pPr>
        <w:spacing w:line="360" w:lineRule="auto"/>
        <w:ind w:firstLine="567"/>
        <w:jc w:val="both"/>
      </w:pPr>
      <w:r w:rsidRPr="00EA175D">
        <w:t xml:space="preserve">61. СНЦ „Местна инициативна група </w:t>
      </w:r>
      <w:r w:rsidR="00F82DB9" w:rsidRPr="00EA175D">
        <w:t>–</w:t>
      </w:r>
      <w:r w:rsidRPr="00EA175D">
        <w:t xml:space="preserve"> община Момчилград“ </w:t>
      </w:r>
      <w:r w:rsidR="00F82DB9" w:rsidRPr="00EA175D">
        <w:t>–</w:t>
      </w:r>
      <w:r w:rsidRPr="00EA175D">
        <w:t xml:space="preserve"> територията на Община Момчилград и Община Крумовград;</w:t>
      </w:r>
    </w:p>
    <w:p w14:paraId="68D2F946" w14:textId="77777777" w:rsidR="00EE7EE2" w:rsidRPr="00EA175D" w:rsidRDefault="00EE7EE2" w:rsidP="00EA175D">
      <w:pPr>
        <w:spacing w:line="360" w:lineRule="auto"/>
        <w:ind w:firstLine="567"/>
        <w:jc w:val="both"/>
      </w:pPr>
      <w:r w:rsidRPr="00EA175D">
        <w:t xml:space="preserve">62. Община Невестино </w:t>
      </w:r>
      <w:r w:rsidR="00F82DB9" w:rsidRPr="00EA175D">
        <w:t>–</w:t>
      </w:r>
      <w:r w:rsidRPr="00EA175D">
        <w:t xml:space="preserve"> територията на Община Невестино и Община Кюстендил;</w:t>
      </w:r>
    </w:p>
    <w:p w14:paraId="00B1D8F0" w14:textId="77777777" w:rsidR="00EE7EE2" w:rsidRPr="00EA175D" w:rsidRDefault="00EE7EE2" w:rsidP="00EA175D">
      <w:pPr>
        <w:spacing w:line="360" w:lineRule="auto"/>
        <w:ind w:firstLine="567"/>
        <w:jc w:val="both"/>
      </w:pPr>
      <w:r w:rsidRPr="00EA175D">
        <w:t xml:space="preserve">63. Сдружение „Местна инициативна група Кирково – 2010“ </w:t>
      </w:r>
      <w:r w:rsidR="00F82DB9" w:rsidRPr="00EA175D">
        <w:t>–</w:t>
      </w:r>
      <w:r w:rsidRPr="00EA175D">
        <w:t xml:space="preserve"> територията на Община Кирково, Община Златоград;</w:t>
      </w:r>
    </w:p>
    <w:p w14:paraId="41DC0EE2" w14:textId="77777777" w:rsidR="00EE7EE2" w:rsidRPr="00EA175D" w:rsidRDefault="00EE7EE2" w:rsidP="00EA175D">
      <w:pPr>
        <w:spacing w:line="360" w:lineRule="auto"/>
        <w:ind w:firstLine="567"/>
        <w:jc w:val="both"/>
      </w:pPr>
      <w:r w:rsidRPr="00EA175D">
        <w:t>64.</w:t>
      </w:r>
      <w:r w:rsidR="00F82DB9" w:rsidRPr="00EA175D">
        <w:t xml:space="preserve"> </w:t>
      </w:r>
      <w:r w:rsidRPr="00EA175D">
        <w:t>Сдружение „Девин</w:t>
      </w:r>
      <w:r w:rsidR="00F82DB9" w:rsidRPr="00EA175D">
        <w:t xml:space="preserve"> – </w:t>
      </w:r>
      <w:r w:rsidRPr="00EA175D">
        <w:t xml:space="preserve">минало, настояще и бъдеще“ </w:t>
      </w:r>
      <w:r w:rsidR="00F82DB9" w:rsidRPr="00EA175D">
        <w:t>–</w:t>
      </w:r>
      <w:r w:rsidRPr="00EA175D">
        <w:t xml:space="preserve"> територията на Община Девин;</w:t>
      </w:r>
    </w:p>
    <w:p w14:paraId="3233C793" w14:textId="77777777" w:rsidR="00EE7EE2" w:rsidRPr="00EA175D" w:rsidRDefault="00EE7EE2" w:rsidP="00EA175D">
      <w:pPr>
        <w:spacing w:line="360" w:lineRule="auto"/>
        <w:ind w:firstLine="567"/>
        <w:jc w:val="both"/>
      </w:pPr>
      <w:r w:rsidRPr="00EA175D">
        <w:t xml:space="preserve">65 . Община Белене </w:t>
      </w:r>
      <w:r w:rsidR="00F82DB9" w:rsidRPr="00EA175D">
        <w:t>–</w:t>
      </w:r>
      <w:r w:rsidRPr="00EA175D">
        <w:t xml:space="preserve"> територията на Община Белене и Община Никопол;</w:t>
      </w:r>
    </w:p>
    <w:p w14:paraId="077C1EAF" w14:textId="77777777" w:rsidR="00EE7EE2" w:rsidRPr="00EA175D" w:rsidRDefault="00EE7EE2" w:rsidP="00EA175D">
      <w:pPr>
        <w:spacing w:line="360" w:lineRule="auto"/>
        <w:ind w:firstLine="567"/>
        <w:jc w:val="both"/>
      </w:pPr>
      <w:r w:rsidRPr="00EA175D">
        <w:t xml:space="preserve">66. Община Руен </w:t>
      </w:r>
      <w:r w:rsidR="00F82DB9" w:rsidRPr="00EA175D">
        <w:t>–</w:t>
      </w:r>
      <w:r w:rsidR="00231597" w:rsidRPr="00EA175D">
        <w:t xml:space="preserve"> територията на Община Руен.</w:t>
      </w:r>
    </w:p>
    <w:p w14:paraId="3FB1CF9B" w14:textId="77777777" w:rsidR="0016279D" w:rsidRPr="00EA175D" w:rsidRDefault="00E4316E" w:rsidP="00EA175D">
      <w:pPr>
        <w:spacing w:line="360" w:lineRule="auto"/>
        <w:ind w:firstLine="567"/>
        <w:jc w:val="both"/>
      </w:pPr>
      <w:r w:rsidRPr="00F77584">
        <w:rPr>
          <w:u w:val="single"/>
          <w:lang w:val="ru-RU"/>
        </w:rPr>
        <w:t>*</w:t>
      </w:r>
      <w:r w:rsidRPr="00EA175D">
        <w:rPr>
          <w:u w:val="single"/>
        </w:rPr>
        <w:t>Забележка:</w:t>
      </w:r>
      <w:r w:rsidRPr="00EA175D">
        <w:t xml:space="preserve"> Община Съединение, въпреки че е одобрена за сключване на договор не сключва такъв.</w:t>
      </w:r>
    </w:p>
    <w:p w14:paraId="23763158" w14:textId="77777777" w:rsidR="00E4316E" w:rsidRPr="00EA175D" w:rsidRDefault="00E4316E" w:rsidP="00EA175D">
      <w:pPr>
        <w:spacing w:line="360" w:lineRule="auto"/>
        <w:ind w:firstLine="567"/>
        <w:jc w:val="both"/>
      </w:pPr>
    </w:p>
    <w:p w14:paraId="084FD41D" w14:textId="77777777" w:rsidR="0016279D" w:rsidRPr="00EA175D" w:rsidRDefault="0016279D" w:rsidP="00EA175D">
      <w:pPr>
        <w:spacing w:line="360" w:lineRule="auto"/>
        <w:ind w:firstLine="567"/>
        <w:jc w:val="both"/>
      </w:pPr>
      <w:r w:rsidRPr="00EA175D">
        <w:t>От страна на УО на ПРСР 2014 – 2020 г. са отхвърлени следните заявления за изразяване на интерес, като за всяко заявление са  представени мотивите за отхвърлянето:</w:t>
      </w:r>
    </w:p>
    <w:p w14:paraId="79891986" w14:textId="77777777" w:rsidR="0016279D" w:rsidRPr="00EA175D" w:rsidRDefault="0016279D" w:rsidP="00EA175D">
      <w:pPr>
        <w:spacing w:line="360" w:lineRule="auto"/>
        <w:ind w:firstLine="567"/>
        <w:jc w:val="both"/>
      </w:pPr>
      <w:r w:rsidRPr="00EA175D">
        <w:t>1. Община Кнежа - СНЦ „МИГ Кнежа“ - територията на Община Кнежа;</w:t>
      </w:r>
    </w:p>
    <w:p w14:paraId="1BA52457" w14:textId="77777777" w:rsidR="0016279D" w:rsidRPr="00EA175D" w:rsidRDefault="0016279D" w:rsidP="00EA175D">
      <w:pPr>
        <w:spacing w:line="360" w:lineRule="auto"/>
        <w:ind w:firstLine="567"/>
        <w:jc w:val="both"/>
      </w:pPr>
      <w:r w:rsidRPr="00EA175D">
        <w:t>2. СНЦ „МИГ Костинброд – Своге“ – територията на Община Костинброд и Община Своге;</w:t>
      </w:r>
    </w:p>
    <w:p w14:paraId="296FDE6C" w14:textId="77777777" w:rsidR="0016279D" w:rsidRPr="00EA175D" w:rsidRDefault="0016279D" w:rsidP="00EA175D">
      <w:pPr>
        <w:spacing w:line="360" w:lineRule="auto"/>
        <w:ind w:firstLine="567"/>
        <w:jc w:val="both"/>
      </w:pPr>
      <w:r w:rsidRPr="00EA175D">
        <w:t>3</w:t>
      </w:r>
      <w:r w:rsidRPr="00EA175D">
        <w:tab/>
        <w:t>. Община Твърдица територията на Община Твърдица;</w:t>
      </w:r>
      <w:r w:rsidRPr="00EA175D">
        <w:tab/>
      </w:r>
    </w:p>
    <w:p w14:paraId="43B48D48" w14:textId="77777777" w:rsidR="0016279D" w:rsidRPr="00EA175D" w:rsidRDefault="0016279D" w:rsidP="00EA175D">
      <w:pPr>
        <w:spacing w:line="360" w:lineRule="auto"/>
        <w:ind w:firstLine="567"/>
        <w:jc w:val="both"/>
      </w:pPr>
      <w:r w:rsidRPr="00EA175D">
        <w:t>4</w:t>
      </w:r>
      <w:r w:rsidRPr="00EA175D">
        <w:tab/>
        <w:t>. Фондация „Местна инициативна група Западна Стара планина – Копрен – Миджур“ – територията на Община Чипровци, Община Георги Дамяново, Община Чупрене и Община Ружници;</w:t>
      </w:r>
    </w:p>
    <w:p w14:paraId="009CD7E8" w14:textId="77777777" w:rsidR="0016279D" w:rsidRPr="00EA175D" w:rsidRDefault="0016279D" w:rsidP="00EA175D">
      <w:pPr>
        <w:spacing w:line="360" w:lineRule="auto"/>
        <w:ind w:firstLine="567"/>
        <w:jc w:val="both"/>
      </w:pPr>
      <w:r w:rsidRPr="00EA175D">
        <w:t>5</w:t>
      </w:r>
      <w:r w:rsidRPr="00EA175D">
        <w:tab/>
        <w:t>. СНЦ „МИГ – Сунгурларска долина“ – територията на Община Сунгурларе;</w:t>
      </w:r>
    </w:p>
    <w:p w14:paraId="1C137D1B" w14:textId="77777777" w:rsidR="0016279D" w:rsidRPr="00EA175D" w:rsidRDefault="0016279D" w:rsidP="00EA175D">
      <w:pPr>
        <w:spacing w:line="360" w:lineRule="auto"/>
        <w:ind w:firstLine="567"/>
        <w:jc w:val="both"/>
      </w:pPr>
      <w:r w:rsidRPr="00EA175D">
        <w:t>6</w:t>
      </w:r>
      <w:r w:rsidRPr="00EA175D">
        <w:tab/>
        <w:t>. Сдружение „Местна инициативна група Разметаница“ територията на Община Бобов дол Община Дупница;</w:t>
      </w:r>
    </w:p>
    <w:p w14:paraId="32B33387" w14:textId="77777777" w:rsidR="0016279D" w:rsidRPr="00EA175D" w:rsidRDefault="0016279D" w:rsidP="00EA175D">
      <w:pPr>
        <w:spacing w:line="360" w:lineRule="auto"/>
        <w:ind w:firstLine="567"/>
        <w:jc w:val="both"/>
      </w:pPr>
      <w:r w:rsidRPr="00EA175D">
        <w:t>7. СНЦ „Местна инициативна група – Карнобат“ – територията на Община Карнобат;</w:t>
      </w:r>
    </w:p>
    <w:p w14:paraId="1FCC824C" w14:textId="77777777" w:rsidR="0016279D" w:rsidRPr="00EA175D" w:rsidRDefault="0016279D" w:rsidP="00EA175D">
      <w:pPr>
        <w:spacing w:line="360" w:lineRule="auto"/>
        <w:ind w:firstLine="567"/>
        <w:jc w:val="both"/>
      </w:pPr>
      <w:r w:rsidRPr="00EA175D">
        <w:lastRenderedPageBreak/>
        <w:t>8. Сдружение „МИГ Антоново – Омуртаг“ – територията на Община Антоново и Община Омуртаг;</w:t>
      </w:r>
    </w:p>
    <w:p w14:paraId="03AF5AF1" w14:textId="77777777" w:rsidR="0016279D" w:rsidRPr="00EA175D" w:rsidRDefault="0016279D" w:rsidP="00EA175D">
      <w:pPr>
        <w:spacing w:line="360" w:lineRule="auto"/>
        <w:ind w:firstLine="567"/>
        <w:jc w:val="both"/>
      </w:pPr>
      <w:r w:rsidRPr="00EA175D">
        <w:t>9. СНЦ „Местна инициативна група Бяла“ – територията на Община Бяла, Община Две могили и Община Иваново;</w:t>
      </w:r>
    </w:p>
    <w:p w14:paraId="794089A8" w14:textId="77777777" w:rsidR="0016279D" w:rsidRPr="00EA175D" w:rsidRDefault="0016279D" w:rsidP="00EA175D">
      <w:pPr>
        <w:spacing w:line="360" w:lineRule="auto"/>
        <w:ind w:firstLine="567"/>
        <w:jc w:val="both"/>
      </w:pPr>
      <w:r w:rsidRPr="00EA175D">
        <w:t>10. „Местна инициативна група Свиленград ареал“ – територията на Община Свиленград;</w:t>
      </w:r>
    </w:p>
    <w:p w14:paraId="3BEDD9C5" w14:textId="77777777" w:rsidR="0016279D" w:rsidRPr="00EA175D" w:rsidRDefault="0016279D" w:rsidP="00EA175D">
      <w:pPr>
        <w:spacing w:line="360" w:lineRule="auto"/>
        <w:ind w:firstLine="567"/>
        <w:jc w:val="both"/>
      </w:pPr>
      <w:r w:rsidRPr="00EA175D">
        <w:t>11. Община Ракитово – територията на Община Ракитово и Община Батак;</w:t>
      </w:r>
    </w:p>
    <w:p w14:paraId="2EC833CF" w14:textId="77777777" w:rsidR="0016279D" w:rsidRPr="00EA175D" w:rsidRDefault="0016279D" w:rsidP="00EA175D">
      <w:pPr>
        <w:spacing w:line="360" w:lineRule="auto"/>
        <w:ind w:firstLine="567"/>
        <w:jc w:val="both"/>
      </w:pPr>
      <w:r w:rsidRPr="00EA175D">
        <w:t xml:space="preserve">12. СНЦ „Местна инициативна група Банско“ – територията на Община Банско;  </w:t>
      </w:r>
    </w:p>
    <w:p w14:paraId="51784C7D" w14:textId="77777777" w:rsidR="0016279D" w:rsidRPr="00EA175D" w:rsidRDefault="0016279D" w:rsidP="00EA175D">
      <w:pPr>
        <w:spacing w:line="360" w:lineRule="auto"/>
        <w:ind w:firstLine="567"/>
        <w:jc w:val="both"/>
      </w:pPr>
      <w:r w:rsidRPr="00EA175D">
        <w:t>13. СНЦ „Местна инициативна група Каолиново – Никола Козлево“ – територията на Община Каолиново, Община Никола Козлево;</w:t>
      </w:r>
    </w:p>
    <w:p w14:paraId="0F1B2B68" w14:textId="77777777" w:rsidR="0016279D" w:rsidRPr="00EA175D" w:rsidRDefault="0016279D" w:rsidP="00EA175D">
      <w:pPr>
        <w:spacing w:line="360" w:lineRule="auto"/>
        <w:ind w:firstLine="567"/>
        <w:jc w:val="both"/>
      </w:pPr>
      <w:r w:rsidRPr="00EA175D">
        <w:t>14. МИГ „Източна Дунавска Елиа“ – територията на Община Тутракан и Община Сливо поле;</w:t>
      </w:r>
    </w:p>
    <w:p w14:paraId="205D0003" w14:textId="77777777" w:rsidR="0016279D" w:rsidRPr="00EA175D" w:rsidRDefault="0016279D" w:rsidP="00EA175D">
      <w:pPr>
        <w:spacing w:line="360" w:lineRule="auto"/>
        <w:ind w:firstLine="567"/>
        <w:jc w:val="both"/>
      </w:pPr>
      <w:r w:rsidRPr="00EA175D">
        <w:t>15. Община Петрич територията на Община Петрич;</w:t>
      </w:r>
    </w:p>
    <w:p w14:paraId="2AD634A7" w14:textId="77777777" w:rsidR="0016279D" w:rsidRPr="00EA175D" w:rsidRDefault="0016279D" w:rsidP="00EA175D">
      <w:pPr>
        <w:spacing w:line="360" w:lineRule="auto"/>
        <w:ind w:firstLine="567"/>
        <w:jc w:val="both"/>
      </w:pPr>
      <w:r w:rsidRPr="00EA175D">
        <w:t>16 Сдружение „Местна инициативна група – МИГ – община Садово“ – територията на Община Садово;</w:t>
      </w:r>
    </w:p>
    <w:p w14:paraId="76AEC208" w14:textId="77777777" w:rsidR="0016279D" w:rsidRPr="00EA175D" w:rsidRDefault="0016279D" w:rsidP="00EA175D">
      <w:pPr>
        <w:spacing w:line="360" w:lineRule="auto"/>
        <w:ind w:firstLine="567"/>
        <w:jc w:val="both"/>
      </w:pPr>
      <w:r w:rsidRPr="00EA175D">
        <w:t>17. Община Симитли – територията на Община Симитли, Община Кресна,Община Струмяни;</w:t>
      </w:r>
    </w:p>
    <w:p w14:paraId="2956A52B" w14:textId="77777777" w:rsidR="0016279D" w:rsidRPr="00EA175D" w:rsidRDefault="0016279D" w:rsidP="00EA175D">
      <w:pPr>
        <w:spacing w:line="360" w:lineRule="auto"/>
        <w:ind w:firstLine="567"/>
        <w:jc w:val="both"/>
      </w:pPr>
      <w:r w:rsidRPr="00EA175D">
        <w:t>18. Община Криводол – територията на Община Криводол, Община Бойчиновци и Община Борован;</w:t>
      </w:r>
    </w:p>
    <w:p w14:paraId="7C0B2AA0" w14:textId="77777777" w:rsidR="0016279D" w:rsidRPr="00EA175D" w:rsidRDefault="0016279D" w:rsidP="00EA175D">
      <w:pPr>
        <w:spacing w:line="360" w:lineRule="auto"/>
        <w:ind w:firstLine="567"/>
        <w:jc w:val="both"/>
      </w:pPr>
      <w:r w:rsidRPr="00EA175D">
        <w:t>19. „Местна инициативна група Бяла Слатина – територията на Община Бяла Слатина;</w:t>
      </w:r>
    </w:p>
    <w:p w14:paraId="536F2B51" w14:textId="77777777" w:rsidR="0016279D" w:rsidRPr="00EA175D" w:rsidRDefault="0016279D" w:rsidP="00EA175D">
      <w:pPr>
        <w:spacing w:line="360" w:lineRule="auto"/>
        <w:ind w:firstLine="567"/>
        <w:jc w:val="both"/>
      </w:pPr>
      <w:r w:rsidRPr="00EA175D">
        <w:t>20. Община Пирдоп – територията на Община Пирдоп, Община Антон и Община Копривщица;</w:t>
      </w:r>
    </w:p>
    <w:p w14:paraId="6ADDB18B" w14:textId="77777777" w:rsidR="0016279D" w:rsidRPr="00EA175D" w:rsidRDefault="0016279D" w:rsidP="00EA175D">
      <w:pPr>
        <w:spacing w:line="360" w:lineRule="auto"/>
        <w:ind w:firstLine="567"/>
        <w:jc w:val="both"/>
      </w:pPr>
      <w:r w:rsidRPr="00EA175D">
        <w:t>21. Сдружение „Местна инициативна група Етрополски Балкан“ – територията на Община Етрополе;</w:t>
      </w:r>
    </w:p>
    <w:p w14:paraId="55F109A5" w14:textId="77777777" w:rsidR="0016279D" w:rsidRPr="00EA175D" w:rsidRDefault="0016279D" w:rsidP="00EA175D">
      <w:pPr>
        <w:spacing w:line="360" w:lineRule="auto"/>
        <w:ind w:firstLine="567"/>
        <w:jc w:val="both"/>
      </w:pPr>
      <w:r w:rsidRPr="00EA175D">
        <w:t>22. СНЦ „МИГ Брезник – Трън“ – територията на Община Брезник и Община Трън;</w:t>
      </w:r>
    </w:p>
    <w:p w14:paraId="1B0BEB5D" w14:textId="77777777" w:rsidR="0016279D" w:rsidRPr="00EA175D" w:rsidRDefault="0016279D" w:rsidP="00EA175D">
      <w:pPr>
        <w:spacing w:line="360" w:lineRule="auto"/>
        <w:ind w:firstLine="567"/>
        <w:jc w:val="both"/>
      </w:pPr>
      <w:r w:rsidRPr="00EA175D">
        <w:t>23. Община Пещера – територията на Община Пещера, Община Брацигово.</w:t>
      </w:r>
    </w:p>
    <w:p w14:paraId="33512242" w14:textId="77777777" w:rsidR="003A562F" w:rsidRPr="00F77584" w:rsidRDefault="003A562F" w:rsidP="00EA175D">
      <w:pPr>
        <w:spacing w:line="360" w:lineRule="auto"/>
        <w:ind w:firstLine="567"/>
        <w:jc w:val="both"/>
        <w:rPr>
          <w:lang w:val="ru-RU"/>
        </w:rPr>
      </w:pPr>
    </w:p>
    <w:p w14:paraId="4A9BFECA" w14:textId="77777777" w:rsidR="00231597" w:rsidRPr="00EA175D" w:rsidRDefault="00231597" w:rsidP="00EA175D">
      <w:pPr>
        <w:spacing w:line="360" w:lineRule="auto"/>
        <w:ind w:firstLine="567"/>
        <w:jc w:val="both"/>
      </w:pPr>
      <w:r w:rsidRPr="00EA175D">
        <w:lastRenderedPageBreak/>
        <w:t>Графика.</w:t>
      </w:r>
      <w:r w:rsidR="003A562F" w:rsidRPr="00F77584">
        <w:rPr>
          <w:lang w:val="ru-RU"/>
        </w:rPr>
        <w:t xml:space="preserve"> </w:t>
      </w:r>
      <w:r w:rsidR="003A562F" w:rsidRPr="00EA175D">
        <w:t>Подадени и одобрени заявления по първи прием на подмярка 19.1. Процент на одобрение.</w:t>
      </w:r>
      <w:r w:rsidRPr="00EA175D">
        <w:t xml:space="preserve"> </w:t>
      </w:r>
    </w:p>
    <w:p w14:paraId="5D8A69CA" w14:textId="77777777" w:rsidR="00EE7EE2" w:rsidRPr="00EA175D" w:rsidRDefault="003A562F" w:rsidP="00EA175D">
      <w:pPr>
        <w:spacing w:line="360" w:lineRule="auto"/>
        <w:ind w:firstLine="567"/>
        <w:jc w:val="both"/>
      </w:pPr>
      <w:r w:rsidRPr="00EA175D">
        <w:rPr>
          <w:lang w:val="it-IT" w:eastAsia="it-IT"/>
        </w:rPr>
        <w:drawing>
          <wp:inline distT="0" distB="0" distL="0" distR="0" wp14:anchorId="4A2520D1" wp14:editId="438EC098">
            <wp:extent cx="5280660" cy="3901440"/>
            <wp:effectExtent l="0" t="0" r="15240" b="2286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2209657E" w14:textId="77777777" w:rsidR="00231597" w:rsidRPr="00EA175D" w:rsidRDefault="00231597" w:rsidP="00EA175D">
      <w:pPr>
        <w:spacing w:line="360" w:lineRule="auto"/>
        <w:ind w:firstLine="567"/>
        <w:jc w:val="both"/>
      </w:pPr>
    </w:p>
    <w:p w14:paraId="5D8756F5" w14:textId="365B15C4" w:rsidR="00231597" w:rsidRPr="00EA175D" w:rsidRDefault="00D169C7" w:rsidP="00EA175D">
      <w:pPr>
        <w:spacing w:line="360" w:lineRule="auto"/>
        <w:ind w:firstLine="567"/>
        <w:jc w:val="both"/>
      </w:pPr>
      <w:r w:rsidRPr="00EA175D">
        <w:t>От представената на графиката информация е видно, че нивото на одобрените по първия прием по подмярка 19.1 заявления е 74,16%, което е приблизително ¾ от всички подадени заявления. Делът на обхванатите в одобрените заявления общини е 73,91% от от всички, подали заявления. При обхвата на одобрените територии и население се забелязва и още по-висок дял – съответно 75,97%  и 76,54%. От показаните данни може да се направи извод, че сравнително висок дял от подалите заявления за подпомагане по подмярка 19.1 кандидати са били одобрени за финансиране. Това високо ниво на одобрение показва, че подадените заявления са били с качество, отговарящо на изискванията на приема.</w:t>
      </w:r>
      <w:r w:rsidR="000C0472" w:rsidRPr="00EA175D">
        <w:t xml:space="preserve"> В</w:t>
      </w:r>
      <w:r w:rsidRPr="00EA175D">
        <w:t xml:space="preserve"> допълнение е важно да се спомене, че близо половината от общините в селските райони са одобрени (а близо 2</w:t>
      </w:r>
      <w:r w:rsidRPr="00F77584">
        <w:rPr>
          <w:lang w:val="ru-RU"/>
        </w:rPr>
        <w:t>/3</w:t>
      </w:r>
      <w:r w:rsidRPr="00EA175D">
        <w:t xml:space="preserve"> </w:t>
      </w:r>
      <w:r w:rsidR="006C4273" w:rsidRPr="00EA175D">
        <w:t xml:space="preserve">от общините в селските райони </w:t>
      </w:r>
      <w:r w:rsidRPr="00EA175D">
        <w:t xml:space="preserve">са </w:t>
      </w:r>
      <w:r w:rsidRPr="00EA175D">
        <w:lastRenderedPageBreak/>
        <w:t xml:space="preserve">кандидатствали) за прилагане на подмярка 19.1 още на първия прием. Въз основа на тези данни може да се говори за изразен висок интерес </w:t>
      </w:r>
      <w:r w:rsidR="006C4273" w:rsidRPr="00EA175D">
        <w:t>към изго</w:t>
      </w:r>
      <w:r w:rsidR="00CA5DB2">
        <w:t>т</w:t>
      </w:r>
      <w:r w:rsidR="006C4273" w:rsidRPr="00EA175D">
        <w:t>вянето на стратегии за ВОМР, регистриран при първия прием на заявления по подмярка 19.1.</w:t>
      </w:r>
    </w:p>
    <w:p w14:paraId="2C1FDA15" w14:textId="77777777" w:rsidR="0016279D" w:rsidRPr="00EA175D" w:rsidRDefault="0016279D" w:rsidP="00EA175D">
      <w:pPr>
        <w:spacing w:line="360" w:lineRule="auto"/>
        <w:ind w:firstLine="567"/>
        <w:jc w:val="both"/>
      </w:pPr>
      <w:r w:rsidRPr="00EA175D">
        <w:t>Втори прием на заявления.</w:t>
      </w:r>
    </w:p>
    <w:p w14:paraId="5CFE32BE" w14:textId="77777777" w:rsidR="00EE7EE2" w:rsidRPr="00EA175D" w:rsidRDefault="00EE7EE2" w:rsidP="00EA175D">
      <w:pPr>
        <w:spacing w:line="360" w:lineRule="auto"/>
        <w:ind w:firstLine="567"/>
        <w:jc w:val="both"/>
      </w:pPr>
      <w:r w:rsidRPr="00EA175D">
        <w:t>2. Със заповед № РД 09-760 от 23.10.2015 г. на министъра на земеделието и храните е определен втори прием на заявления за изразяване на интерес по реда на Наредба № 16 от 30 юли 2015 г. за прилагане на подмярка 19.1 „Помощ за подготвителни дейности” на мярка 19 „Водено от общностите местно развитие” от ПРСР 2014 - 2020 г. с начална дата 09.11.2015 г. и крайна дата 11.12.2015 г.</w:t>
      </w:r>
    </w:p>
    <w:p w14:paraId="1EED7812" w14:textId="77777777" w:rsidR="003E525A" w:rsidRPr="00EA175D" w:rsidRDefault="00EE7EE2" w:rsidP="00EA175D">
      <w:pPr>
        <w:spacing w:line="360" w:lineRule="auto"/>
        <w:ind w:firstLine="567"/>
        <w:jc w:val="both"/>
      </w:pPr>
      <w:r w:rsidRPr="00EA175D">
        <w:t xml:space="preserve">В резултат на приема в МЗХ са постъпили 44 заявления за изразяване на интерес по подмярката с обща стойност на заявената финансова помощ в размер на 2 230 104,50 лева. </w:t>
      </w:r>
      <w:r w:rsidR="00C01780" w:rsidRPr="00EA175D">
        <w:t xml:space="preserve">В заявленията са включени общо 75 общини с територия 28 572 кв. км. и население 924 961 жители. </w:t>
      </w:r>
      <w:r w:rsidR="003E525A" w:rsidRPr="00EA175D">
        <w:t xml:space="preserve">От постъпилите заявления са отхвърлени 9 заявления, в които са включени 14 общини с територия 6 701 кв. км. и население 208 085 жители. </w:t>
      </w:r>
    </w:p>
    <w:p w14:paraId="1724043D" w14:textId="77777777" w:rsidR="0067254A" w:rsidRPr="00EA175D" w:rsidRDefault="003E525A" w:rsidP="00EA175D">
      <w:pPr>
        <w:spacing w:line="360" w:lineRule="auto"/>
        <w:ind w:firstLine="567"/>
        <w:jc w:val="both"/>
      </w:pPr>
      <w:r w:rsidRPr="00EA175D">
        <w:t>Сключени са 35 договора на обща стойност 1 7</w:t>
      </w:r>
      <w:r w:rsidR="00B066E7" w:rsidRPr="00F77584">
        <w:rPr>
          <w:lang w:val="ru-RU"/>
        </w:rPr>
        <w:t>69</w:t>
      </w:r>
      <w:r w:rsidRPr="00EA175D">
        <w:t xml:space="preserve"> </w:t>
      </w:r>
      <w:r w:rsidR="00B066E7" w:rsidRPr="00F77584">
        <w:rPr>
          <w:lang w:val="ru-RU"/>
        </w:rPr>
        <w:t>844</w:t>
      </w:r>
      <w:r w:rsidRPr="00EA175D">
        <w:t>,</w:t>
      </w:r>
      <w:r w:rsidR="00B066E7" w:rsidRPr="00F77584">
        <w:rPr>
          <w:lang w:val="ru-RU"/>
        </w:rPr>
        <w:t>45</w:t>
      </w:r>
      <w:r w:rsidRPr="00EA175D">
        <w:t xml:space="preserve"> лева (9</w:t>
      </w:r>
      <w:r w:rsidR="00B066E7" w:rsidRPr="00F77584">
        <w:rPr>
          <w:lang w:val="ru-RU"/>
        </w:rPr>
        <w:t>04</w:t>
      </w:r>
      <w:r w:rsidRPr="00EA175D">
        <w:t xml:space="preserve"> </w:t>
      </w:r>
      <w:r w:rsidR="00B066E7" w:rsidRPr="00F77584">
        <w:rPr>
          <w:lang w:val="ru-RU"/>
        </w:rPr>
        <w:t>920</w:t>
      </w:r>
      <w:r w:rsidRPr="00EA175D">
        <w:t>,</w:t>
      </w:r>
      <w:r w:rsidR="00B066E7" w:rsidRPr="00F77584">
        <w:rPr>
          <w:lang w:val="ru-RU"/>
        </w:rPr>
        <w:t>98</w:t>
      </w:r>
      <w:r w:rsidRPr="00EA175D">
        <w:t xml:space="preserve"> евро), в които за изпълнение на дейности по подмярката са обхванати за участие 61 общини</w:t>
      </w:r>
      <w:r w:rsidR="00B65F9D" w:rsidRPr="00EA175D">
        <w:t xml:space="preserve"> с територия 21 871 кв. км. и </w:t>
      </w:r>
      <w:r w:rsidRPr="00EA175D">
        <w:t>население от 716 876 жители.</w:t>
      </w:r>
    </w:p>
    <w:p w14:paraId="5BC34664" w14:textId="77777777" w:rsidR="00EE7EE2" w:rsidRPr="00EA175D" w:rsidRDefault="00EE7EE2" w:rsidP="00EA175D">
      <w:pPr>
        <w:spacing w:line="360" w:lineRule="auto"/>
        <w:ind w:firstLine="567"/>
        <w:jc w:val="both"/>
      </w:pPr>
      <w:r w:rsidRPr="00EA175D">
        <w:t>Успешно преминалите етапа на проверка за административно съответствие и допустимост заявления за изразяване на интерес са:</w:t>
      </w:r>
    </w:p>
    <w:p w14:paraId="6D7046F0" w14:textId="77777777" w:rsidR="00EE7EE2" w:rsidRPr="00EA175D" w:rsidRDefault="00EE7EE2" w:rsidP="00EA175D">
      <w:pPr>
        <w:tabs>
          <w:tab w:val="left" w:pos="851"/>
          <w:tab w:val="left" w:pos="993"/>
        </w:tabs>
        <w:spacing w:line="360" w:lineRule="auto"/>
        <w:ind w:firstLine="567"/>
        <w:jc w:val="both"/>
      </w:pPr>
      <w:r w:rsidRPr="00EA175D">
        <w:t>1. МИГ „Велики Преслав“ (територията на Община Велики Преслав);</w:t>
      </w:r>
    </w:p>
    <w:p w14:paraId="075E5283" w14:textId="77777777" w:rsidR="00EE7EE2" w:rsidRPr="00EA175D" w:rsidRDefault="00EE7EE2" w:rsidP="00EA175D">
      <w:pPr>
        <w:tabs>
          <w:tab w:val="left" w:pos="851"/>
          <w:tab w:val="left" w:pos="993"/>
        </w:tabs>
        <w:spacing w:line="360" w:lineRule="auto"/>
        <w:ind w:firstLine="567"/>
        <w:jc w:val="both"/>
      </w:pPr>
      <w:r w:rsidRPr="00EA175D">
        <w:t>2. СНЦ „МИГ Кнежа“ (територията на Община Кнежа);</w:t>
      </w:r>
    </w:p>
    <w:p w14:paraId="48901FAA" w14:textId="77777777" w:rsidR="00EE7EE2" w:rsidRPr="00EA175D" w:rsidRDefault="00EE7EE2" w:rsidP="00EA175D">
      <w:pPr>
        <w:tabs>
          <w:tab w:val="left" w:pos="851"/>
          <w:tab w:val="left" w:pos="993"/>
        </w:tabs>
        <w:spacing w:line="360" w:lineRule="auto"/>
        <w:ind w:firstLine="567"/>
        <w:jc w:val="both"/>
      </w:pPr>
      <w:r w:rsidRPr="00EA175D">
        <w:t>3. МИГ „Свиленград Ареал“ (територията на Община Свиленград);</w:t>
      </w:r>
    </w:p>
    <w:p w14:paraId="5C1B9FD0" w14:textId="77777777" w:rsidR="00EE7EE2" w:rsidRPr="00EA175D" w:rsidRDefault="00841DB9" w:rsidP="00EA175D">
      <w:pPr>
        <w:tabs>
          <w:tab w:val="left" w:pos="851"/>
          <w:tab w:val="left" w:pos="993"/>
        </w:tabs>
        <w:spacing w:line="360" w:lineRule="auto"/>
        <w:ind w:firstLine="567"/>
        <w:jc w:val="both"/>
      </w:pPr>
      <w:r w:rsidRPr="00EA175D">
        <w:t>4</w:t>
      </w:r>
      <w:r w:rsidR="00EE7EE2" w:rsidRPr="00EA175D">
        <w:t>.</w:t>
      </w:r>
      <w:r w:rsidR="00EE7EE2" w:rsidRPr="00EA175D">
        <w:tab/>
        <w:t>СНЦ „МИГ – Раднево“ (територията на</w:t>
      </w:r>
      <w:r w:rsidR="00EE7EE2" w:rsidRPr="00EA175D">
        <w:tab/>
        <w:t>Община Раднево);</w:t>
      </w:r>
    </w:p>
    <w:p w14:paraId="2ACECD59" w14:textId="77777777" w:rsidR="00EE7EE2" w:rsidRPr="00EA175D" w:rsidRDefault="00841DB9" w:rsidP="00EA175D">
      <w:pPr>
        <w:tabs>
          <w:tab w:val="left" w:pos="851"/>
          <w:tab w:val="left" w:pos="993"/>
        </w:tabs>
        <w:spacing w:line="360" w:lineRule="auto"/>
        <w:ind w:firstLine="567"/>
        <w:jc w:val="both"/>
      </w:pPr>
      <w:r w:rsidRPr="00EA175D">
        <w:t>5</w:t>
      </w:r>
      <w:r w:rsidR="00EE7EE2" w:rsidRPr="00EA175D">
        <w:t>.</w:t>
      </w:r>
      <w:r w:rsidR="00EE7EE2" w:rsidRPr="00EA175D">
        <w:tab/>
        <w:t>СНЦ „МИГ Костинброд</w:t>
      </w:r>
      <w:r w:rsidRPr="00EA175D">
        <w:t xml:space="preserve"> – </w:t>
      </w:r>
      <w:r w:rsidR="00EE7EE2" w:rsidRPr="00EA175D">
        <w:t>Своге“ (територията на Община Своге и Община Костинброд);</w:t>
      </w:r>
    </w:p>
    <w:p w14:paraId="5AA8A08E" w14:textId="77777777" w:rsidR="00EE7EE2" w:rsidRPr="00EA175D" w:rsidRDefault="00841DB9" w:rsidP="00EA175D">
      <w:pPr>
        <w:tabs>
          <w:tab w:val="left" w:pos="851"/>
          <w:tab w:val="left" w:pos="993"/>
        </w:tabs>
        <w:spacing w:line="360" w:lineRule="auto"/>
        <w:ind w:firstLine="567"/>
        <w:jc w:val="both"/>
      </w:pPr>
      <w:r w:rsidRPr="00EA175D">
        <w:t>6</w:t>
      </w:r>
      <w:r w:rsidR="00EE7EE2" w:rsidRPr="00EA175D">
        <w:t>.</w:t>
      </w:r>
      <w:r w:rsidR="00EE7EE2" w:rsidRPr="00EA175D">
        <w:tab/>
        <w:t xml:space="preserve">МИГ „Несебър“ </w:t>
      </w:r>
      <w:r w:rsidRPr="00EA175D">
        <w:t>–</w:t>
      </w:r>
      <w:r w:rsidR="00EE7EE2" w:rsidRPr="00EA175D">
        <w:t xml:space="preserve"> Община Несебър;</w:t>
      </w:r>
    </w:p>
    <w:p w14:paraId="12243D88" w14:textId="77777777" w:rsidR="00EE7EE2" w:rsidRPr="00EA175D" w:rsidRDefault="00841DB9" w:rsidP="00EA175D">
      <w:pPr>
        <w:tabs>
          <w:tab w:val="left" w:pos="851"/>
          <w:tab w:val="left" w:pos="993"/>
        </w:tabs>
        <w:spacing w:line="360" w:lineRule="auto"/>
        <w:ind w:firstLine="567"/>
        <w:jc w:val="both"/>
      </w:pPr>
      <w:r w:rsidRPr="00EA175D">
        <w:t>7</w:t>
      </w:r>
      <w:r w:rsidR="00EE7EE2" w:rsidRPr="00EA175D">
        <w:t>.</w:t>
      </w:r>
      <w:r w:rsidR="00EE7EE2" w:rsidRPr="00EA175D">
        <w:tab/>
        <w:t>СНЦ „МИГ Карнобат“</w:t>
      </w:r>
      <w:r w:rsidRPr="00EA175D">
        <w:t xml:space="preserve"> </w:t>
      </w:r>
      <w:r w:rsidR="00EE7EE2" w:rsidRPr="00EA175D">
        <w:t>(територията на Община Карнобат);</w:t>
      </w:r>
    </w:p>
    <w:p w14:paraId="13594AFF" w14:textId="77777777" w:rsidR="00EE7EE2" w:rsidRPr="00EA175D" w:rsidRDefault="00841DB9" w:rsidP="00EA175D">
      <w:pPr>
        <w:tabs>
          <w:tab w:val="left" w:pos="851"/>
          <w:tab w:val="left" w:pos="993"/>
        </w:tabs>
        <w:spacing w:line="360" w:lineRule="auto"/>
        <w:ind w:firstLine="567"/>
        <w:jc w:val="both"/>
      </w:pPr>
      <w:r w:rsidRPr="00EA175D">
        <w:t>8</w:t>
      </w:r>
      <w:r w:rsidR="00EE7EE2" w:rsidRPr="00EA175D">
        <w:t>.</w:t>
      </w:r>
      <w:r w:rsidR="00EE7EE2" w:rsidRPr="00EA175D">
        <w:tab/>
        <w:t>Община Стамболово (територията на Община Стамболово и Община Кърджали);</w:t>
      </w:r>
    </w:p>
    <w:p w14:paraId="639EE224" w14:textId="77777777" w:rsidR="00EE7EE2" w:rsidRPr="00EA175D" w:rsidRDefault="00841DB9" w:rsidP="00EA175D">
      <w:pPr>
        <w:tabs>
          <w:tab w:val="left" w:pos="851"/>
          <w:tab w:val="left" w:pos="993"/>
        </w:tabs>
        <w:spacing w:line="360" w:lineRule="auto"/>
        <w:ind w:firstLine="567"/>
        <w:jc w:val="both"/>
      </w:pPr>
      <w:r w:rsidRPr="00EA175D">
        <w:lastRenderedPageBreak/>
        <w:t>9</w:t>
      </w:r>
      <w:r w:rsidR="00EE7EE2" w:rsidRPr="00EA175D">
        <w:t>.</w:t>
      </w:r>
      <w:r w:rsidR="00EE7EE2" w:rsidRPr="00EA175D">
        <w:tab/>
        <w:t>Община Твърдица</w:t>
      </w:r>
      <w:r w:rsidR="00EE7EE2" w:rsidRPr="00EA175D">
        <w:tab/>
        <w:t>(територията на Община Твърдица);</w:t>
      </w:r>
    </w:p>
    <w:p w14:paraId="6156602F" w14:textId="77777777" w:rsidR="00EE7EE2" w:rsidRPr="00EA175D" w:rsidRDefault="00841DB9" w:rsidP="00EA175D">
      <w:pPr>
        <w:tabs>
          <w:tab w:val="left" w:pos="851"/>
          <w:tab w:val="left" w:pos="993"/>
        </w:tabs>
        <w:spacing w:line="360" w:lineRule="auto"/>
        <w:ind w:firstLine="567"/>
        <w:jc w:val="both"/>
      </w:pPr>
      <w:r w:rsidRPr="00EA175D">
        <w:t>10</w:t>
      </w:r>
      <w:r w:rsidR="00EE7EE2" w:rsidRPr="00EA175D">
        <w:t>.</w:t>
      </w:r>
      <w:r w:rsidR="00EE7EE2" w:rsidRPr="00EA175D">
        <w:tab/>
        <w:t>Община Белоградчик (територията на Община Белоградчик Община Димово и Община Макреш);</w:t>
      </w:r>
    </w:p>
    <w:p w14:paraId="49B4D480" w14:textId="77777777" w:rsidR="00EE7EE2" w:rsidRPr="00EA175D" w:rsidRDefault="00841DB9" w:rsidP="00EA175D">
      <w:pPr>
        <w:tabs>
          <w:tab w:val="left" w:pos="851"/>
          <w:tab w:val="left" w:pos="993"/>
        </w:tabs>
        <w:spacing w:line="360" w:lineRule="auto"/>
        <w:ind w:firstLine="567"/>
        <w:jc w:val="both"/>
      </w:pPr>
      <w:r w:rsidRPr="00EA175D">
        <w:t>11</w:t>
      </w:r>
      <w:r w:rsidR="00EE7EE2" w:rsidRPr="00EA175D">
        <w:t>.</w:t>
      </w:r>
      <w:r w:rsidR="00EE7EE2" w:rsidRPr="00EA175D">
        <w:tab/>
        <w:t>Община Пирдоп  (територията на Община Пирдоп, Община Антон ,Община Копривщица);</w:t>
      </w:r>
    </w:p>
    <w:p w14:paraId="3948FBC8" w14:textId="77777777" w:rsidR="00EE7EE2" w:rsidRPr="00EA175D" w:rsidRDefault="00EE7EE2" w:rsidP="00EA175D">
      <w:pPr>
        <w:tabs>
          <w:tab w:val="left" w:pos="851"/>
          <w:tab w:val="left" w:pos="993"/>
        </w:tabs>
        <w:spacing w:line="360" w:lineRule="auto"/>
        <w:ind w:firstLine="567"/>
        <w:jc w:val="both"/>
      </w:pPr>
      <w:r w:rsidRPr="00EA175D">
        <w:t>1</w:t>
      </w:r>
      <w:r w:rsidR="00A54E61" w:rsidRPr="00EA175D">
        <w:t>2</w:t>
      </w:r>
      <w:r w:rsidRPr="00EA175D">
        <w:t>.</w:t>
      </w:r>
      <w:r w:rsidRPr="00EA175D">
        <w:tab/>
        <w:t>Община Каолиново (територията на Община Каолиново и Община Венец);</w:t>
      </w:r>
    </w:p>
    <w:p w14:paraId="3FEFF3DC" w14:textId="77777777" w:rsidR="00EE7EE2" w:rsidRPr="00EA175D" w:rsidRDefault="00EE7EE2" w:rsidP="00EA175D">
      <w:pPr>
        <w:tabs>
          <w:tab w:val="left" w:pos="851"/>
          <w:tab w:val="left" w:pos="993"/>
        </w:tabs>
        <w:spacing w:line="360" w:lineRule="auto"/>
        <w:ind w:firstLine="567"/>
        <w:jc w:val="both"/>
      </w:pPr>
      <w:r w:rsidRPr="00EA175D">
        <w:t>1</w:t>
      </w:r>
      <w:r w:rsidR="00A54E61" w:rsidRPr="00EA175D">
        <w:t>3</w:t>
      </w:r>
      <w:r w:rsidRPr="00EA175D">
        <w:t>.</w:t>
      </w:r>
      <w:r w:rsidRPr="00EA175D">
        <w:tab/>
        <w:t>„Местна инициативна група - МИГ- Община Садово“ (територията на Община Садово);</w:t>
      </w:r>
      <w:r w:rsidRPr="00EA175D">
        <w:tab/>
      </w:r>
    </w:p>
    <w:p w14:paraId="736B0E58" w14:textId="77777777" w:rsidR="00EE7EE2" w:rsidRPr="00EA175D" w:rsidRDefault="00EE7EE2" w:rsidP="00EA175D">
      <w:pPr>
        <w:tabs>
          <w:tab w:val="left" w:pos="851"/>
          <w:tab w:val="left" w:pos="993"/>
        </w:tabs>
        <w:spacing w:line="360" w:lineRule="auto"/>
        <w:ind w:firstLine="567"/>
        <w:jc w:val="both"/>
      </w:pPr>
      <w:r w:rsidRPr="00EA175D">
        <w:t>1</w:t>
      </w:r>
      <w:r w:rsidR="00A54E61" w:rsidRPr="00EA175D">
        <w:t>4</w:t>
      </w:r>
      <w:r w:rsidRPr="00EA175D">
        <w:t>.</w:t>
      </w:r>
      <w:r w:rsidRPr="00EA175D">
        <w:tab/>
        <w:t>Сдружение „МИГ Източна Дунавска Елиа“ (територията на Община Тутракан и Община Сливо поле);</w:t>
      </w:r>
    </w:p>
    <w:p w14:paraId="6D12347C" w14:textId="77777777" w:rsidR="00EE7EE2" w:rsidRPr="00EA175D" w:rsidRDefault="00EE7EE2" w:rsidP="00EA175D">
      <w:pPr>
        <w:tabs>
          <w:tab w:val="left" w:pos="851"/>
          <w:tab w:val="left" w:pos="993"/>
        </w:tabs>
        <w:spacing w:line="360" w:lineRule="auto"/>
        <w:ind w:firstLine="567"/>
        <w:jc w:val="both"/>
      </w:pPr>
      <w:r w:rsidRPr="00EA175D">
        <w:t>1</w:t>
      </w:r>
      <w:r w:rsidR="00A54E61" w:rsidRPr="00EA175D">
        <w:t>5</w:t>
      </w:r>
      <w:r w:rsidRPr="00EA175D">
        <w:t>.</w:t>
      </w:r>
      <w:r w:rsidRPr="00EA175D">
        <w:tab/>
        <w:t>Сдружение „МИГ Антоново-Омуртаг“ (територията на Община Антоново и Община Омуртаг);</w:t>
      </w:r>
    </w:p>
    <w:p w14:paraId="6E747640" w14:textId="77777777" w:rsidR="00EE7EE2" w:rsidRPr="00EA175D" w:rsidRDefault="00A54E61" w:rsidP="00EA175D">
      <w:pPr>
        <w:tabs>
          <w:tab w:val="left" w:pos="851"/>
          <w:tab w:val="left" w:pos="993"/>
        </w:tabs>
        <w:spacing w:line="360" w:lineRule="auto"/>
        <w:ind w:firstLine="567"/>
        <w:jc w:val="both"/>
      </w:pPr>
      <w:r w:rsidRPr="00EA175D">
        <w:t>16</w:t>
      </w:r>
      <w:r w:rsidR="00EE7EE2" w:rsidRPr="00EA175D">
        <w:t>.</w:t>
      </w:r>
      <w:r w:rsidR="00EE7EE2" w:rsidRPr="00EA175D">
        <w:tab/>
        <w:t>Община Павликени (територията на Община Павликени и Община Полски Тръмбеш);</w:t>
      </w:r>
    </w:p>
    <w:p w14:paraId="04E9632C" w14:textId="77777777" w:rsidR="00EE7EE2" w:rsidRPr="00EA175D" w:rsidRDefault="00A54E61" w:rsidP="00EA175D">
      <w:pPr>
        <w:tabs>
          <w:tab w:val="left" w:pos="851"/>
          <w:tab w:val="left" w:pos="993"/>
        </w:tabs>
        <w:spacing w:line="360" w:lineRule="auto"/>
        <w:ind w:firstLine="567"/>
        <w:jc w:val="both"/>
      </w:pPr>
      <w:r w:rsidRPr="00EA175D">
        <w:t>17</w:t>
      </w:r>
      <w:r w:rsidR="00EE7EE2" w:rsidRPr="00EA175D">
        <w:t>.</w:t>
      </w:r>
      <w:r w:rsidR="00EE7EE2" w:rsidRPr="00EA175D">
        <w:tab/>
        <w:t>Община Дряново</w:t>
      </w:r>
      <w:r w:rsidR="00EE7EE2" w:rsidRPr="00EA175D">
        <w:tab/>
        <w:t>(територията на Община Дряново и Община Трявна);</w:t>
      </w:r>
    </w:p>
    <w:p w14:paraId="088E5472" w14:textId="77777777" w:rsidR="00EE7EE2" w:rsidRPr="00EA175D" w:rsidRDefault="00A54E61" w:rsidP="00EA175D">
      <w:pPr>
        <w:tabs>
          <w:tab w:val="left" w:pos="851"/>
          <w:tab w:val="left" w:pos="993"/>
        </w:tabs>
        <w:spacing w:line="360" w:lineRule="auto"/>
        <w:ind w:firstLine="567"/>
        <w:jc w:val="both"/>
      </w:pPr>
      <w:r w:rsidRPr="00EA175D">
        <w:t>18</w:t>
      </w:r>
      <w:r w:rsidR="00EE7EE2" w:rsidRPr="00EA175D">
        <w:t>.</w:t>
      </w:r>
      <w:r w:rsidR="00EE7EE2" w:rsidRPr="00EA175D">
        <w:tab/>
        <w:t>Сдружение „МИГ Разметаница“ (територията на Община Бобов дол и Община Дупница);</w:t>
      </w:r>
    </w:p>
    <w:p w14:paraId="574A5B80" w14:textId="77777777" w:rsidR="00EE7EE2" w:rsidRPr="00EA175D" w:rsidRDefault="00A54E61" w:rsidP="00EA175D">
      <w:pPr>
        <w:tabs>
          <w:tab w:val="left" w:pos="851"/>
          <w:tab w:val="left" w:pos="993"/>
        </w:tabs>
        <w:spacing w:line="360" w:lineRule="auto"/>
        <w:ind w:firstLine="567"/>
        <w:jc w:val="both"/>
      </w:pPr>
      <w:r w:rsidRPr="00EA175D">
        <w:t>19</w:t>
      </w:r>
      <w:r w:rsidR="00EE7EE2" w:rsidRPr="00EA175D">
        <w:t>.</w:t>
      </w:r>
      <w:r w:rsidR="00EE7EE2" w:rsidRPr="00EA175D">
        <w:tab/>
        <w:t>СНЦ „МИГ Карлуковски карст - Червен бряг“</w:t>
      </w:r>
      <w:r w:rsidR="00EE7EE2" w:rsidRPr="00EA175D">
        <w:tab/>
        <w:t>(територията на Община Червен бряг;</w:t>
      </w:r>
    </w:p>
    <w:p w14:paraId="5AA51F48" w14:textId="77777777" w:rsidR="00EE7EE2" w:rsidRPr="00EA175D" w:rsidRDefault="00841DB9" w:rsidP="00EA175D">
      <w:pPr>
        <w:tabs>
          <w:tab w:val="left" w:pos="851"/>
          <w:tab w:val="left" w:pos="993"/>
        </w:tabs>
        <w:spacing w:line="360" w:lineRule="auto"/>
        <w:ind w:firstLine="567"/>
        <w:jc w:val="both"/>
      </w:pPr>
      <w:r w:rsidRPr="00EA175D">
        <w:t>2</w:t>
      </w:r>
      <w:r w:rsidR="00A54E61" w:rsidRPr="00EA175D">
        <w:t>0</w:t>
      </w:r>
      <w:r w:rsidR="00EE7EE2" w:rsidRPr="00EA175D">
        <w:t>.</w:t>
      </w:r>
      <w:r w:rsidR="00EE7EE2" w:rsidRPr="00EA175D">
        <w:tab/>
        <w:t>Община Трън  (територията на Община Трън, Община Брезник, Община Божурище);</w:t>
      </w:r>
    </w:p>
    <w:p w14:paraId="0BADE893" w14:textId="77777777" w:rsidR="00EE7EE2" w:rsidRPr="00EA175D" w:rsidRDefault="00A54E61" w:rsidP="00EA175D">
      <w:pPr>
        <w:tabs>
          <w:tab w:val="left" w:pos="851"/>
          <w:tab w:val="left" w:pos="993"/>
        </w:tabs>
        <w:spacing w:line="360" w:lineRule="auto"/>
        <w:ind w:firstLine="567"/>
        <w:jc w:val="both"/>
      </w:pPr>
      <w:r w:rsidRPr="00EA175D">
        <w:t>21</w:t>
      </w:r>
      <w:r w:rsidR="00EE7EE2" w:rsidRPr="00EA175D">
        <w:t>.</w:t>
      </w:r>
      <w:r w:rsidR="00EE7EE2" w:rsidRPr="00EA175D">
        <w:tab/>
        <w:t>СНЦ „МИГ Бяла Слатина“ (територията на Община Бяла Слатина);</w:t>
      </w:r>
    </w:p>
    <w:p w14:paraId="29BFF398" w14:textId="77777777" w:rsidR="00EE7EE2" w:rsidRPr="00EA175D" w:rsidRDefault="00A54E61" w:rsidP="00EA175D">
      <w:pPr>
        <w:tabs>
          <w:tab w:val="left" w:pos="851"/>
          <w:tab w:val="left" w:pos="993"/>
        </w:tabs>
        <w:spacing w:line="360" w:lineRule="auto"/>
        <w:ind w:firstLine="567"/>
        <w:jc w:val="both"/>
      </w:pPr>
      <w:r w:rsidRPr="00EA175D">
        <w:t>22</w:t>
      </w:r>
      <w:r w:rsidR="00EE7EE2" w:rsidRPr="00EA175D">
        <w:t>.</w:t>
      </w:r>
      <w:r w:rsidR="00EE7EE2" w:rsidRPr="00EA175D">
        <w:tab/>
        <w:t>Община Камено</w:t>
      </w:r>
      <w:r w:rsidR="00EE7EE2" w:rsidRPr="00EA175D">
        <w:tab/>
        <w:t>(територията на Община Камено);</w:t>
      </w:r>
    </w:p>
    <w:p w14:paraId="43F0DDCB" w14:textId="77777777" w:rsidR="00EE7EE2" w:rsidRPr="00EA175D" w:rsidRDefault="00A54E61" w:rsidP="00EA175D">
      <w:pPr>
        <w:tabs>
          <w:tab w:val="left" w:pos="851"/>
          <w:tab w:val="left" w:pos="993"/>
        </w:tabs>
        <w:spacing w:line="360" w:lineRule="auto"/>
        <w:ind w:firstLine="567"/>
        <w:jc w:val="both"/>
      </w:pPr>
      <w:r w:rsidRPr="00EA175D">
        <w:t>23</w:t>
      </w:r>
      <w:r w:rsidR="00EE7EE2" w:rsidRPr="00EA175D">
        <w:t>.</w:t>
      </w:r>
      <w:r w:rsidR="00EE7EE2" w:rsidRPr="00EA175D">
        <w:tab/>
        <w:t>Община Лом (територията на Община Лом);</w:t>
      </w:r>
    </w:p>
    <w:p w14:paraId="0A798AD8" w14:textId="77777777" w:rsidR="00EE7EE2" w:rsidRPr="00EA175D" w:rsidRDefault="00A54E61" w:rsidP="00EA175D">
      <w:pPr>
        <w:tabs>
          <w:tab w:val="left" w:pos="851"/>
          <w:tab w:val="left" w:pos="993"/>
        </w:tabs>
        <w:spacing w:line="360" w:lineRule="auto"/>
        <w:ind w:firstLine="567"/>
        <w:jc w:val="both"/>
      </w:pPr>
      <w:r w:rsidRPr="00EA175D">
        <w:t>24</w:t>
      </w:r>
      <w:r w:rsidR="00EE7EE2" w:rsidRPr="00EA175D">
        <w:t>.</w:t>
      </w:r>
      <w:r w:rsidR="00EE7EE2" w:rsidRPr="00EA175D">
        <w:tab/>
        <w:t>Община Симитли</w:t>
      </w:r>
      <w:r w:rsidR="00EE7EE2" w:rsidRPr="00EA175D">
        <w:tab/>
        <w:t>(територията на Община Симитли, Община Струмяни и Община Кресна);</w:t>
      </w:r>
    </w:p>
    <w:p w14:paraId="73D028A1" w14:textId="77777777" w:rsidR="00EE7EE2" w:rsidRPr="00EA175D" w:rsidRDefault="00A54E61" w:rsidP="00EA175D">
      <w:pPr>
        <w:tabs>
          <w:tab w:val="left" w:pos="851"/>
          <w:tab w:val="left" w:pos="993"/>
        </w:tabs>
        <w:spacing w:line="360" w:lineRule="auto"/>
        <w:ind w:firstLine="567"/>
        <w:jc w:val="both"/>
      </w:pPr>
      <w:r w:rsidRPr="00EA175D">
        <w:t>25</w:t>
      </w:r>
      <w:r w:rsidR="00EE7EE2" w:rsidRPr="00EA175D">
        <w:t>.</w:t>
      </w:r>
      <w:r w:rsidR="00EE7EE2" w:rsidRPr="00EA175D">
        <w:tab/>
        <w:t>Община Куклен</w:t>
      </w:r>
      <w:r w:rsidR="00EE7EE2" w:rsidRPr="00EA175D">
        <w:tab/>
        <w:t>(територията на Община Куклен и Община Асеновград);</w:t>
      </w:r>
    </w:p>
    <w:p w14:paraId="13B3901E" w14:textId="77777777" w:rsidR="00EE7EE2" w:rsidRPr="00EA175D" w:rsidRDefault="00A54E61" w:rsidP="00EA175D">
      <w:pPr>
        <w:tabs>
          <w:tab w:val="left" w:pos="851"/>
          <w:tab w:val="left" w:pos="993"/>
        </w:tabs>
        <w:spacing w:line="360" w:lineRule="auto"/>
        <w:ind w:firstLine="567"/>
        <w:jc w:val="both"/>
      </w:pPr>
      <w:r w:rsidRPr="00EA175D">
        <w:t>26</w:t>
      </w:r>
      <w:r w:rsidR="00EE7EE2" w:rsidRPr="00EA175D">
        <w:t>.</w:t>
      </w:r>
      <w:r w:rsidR="00EE7EE2" w:rsidRPr="00EA175D">
        <w:tab/>
        <w:t>Община Петрич</w:t>
      </w:r>
      <w:r w:rsidR="00EE7EE2" w:rsidRPr="00EA175D">
        <w:tab/>
        <w:t>(територията на Община Петрич);</w:t>
      </w:r>
    </w:p>
    <w:p w14:paraId="6AAC8A77" w14:textId="77777777" w:rsidR="00EE7EE2" w:rsidRPr="00EA175D" w:rsidRDefault="00A54E61" w:rsidP="00EA175D">
      <w:pPr>
        <w:tabs>
          <w:tab w:val="left" w:pos="851"/>
          <w:tab w:val="left" w:pos="993"/>
        </w:tabs>
        <w:spacing w:line="360" w:lineRule="auto"/>
        <w:ind w:firstLine="567"/>
        <w:jc w:val="both"/>
      </w:pPr>
      <w:r w:rsidRPr="00EA175D">
        <w:t>27</w:t>
      </w:r>
      <w:r w:rsidR="00EE7EE2" w:rsidRPr="00EA175D">
        <w:t>.</w:t>
      </w:r>
      <w:r w:rsidR="00EE7EE2" w:rsidRPr="00EA175D">
        <w:tab/>
        <w:t>Сдружение „МИГ Етрополски балкан“(територията на Община Етрополе);</w:t>
      </w:r>
    </w:p>
    <w:p w14:paraId="7848E094" w14:textId="77777777" w:rsidR="00EE7EE2" w:rsidRPr="00EA175D" w:rsidRDefault="00A54E61" w:rsidP="00EA175D">
      <w:pPr>
        <w:tabs>
          <w:tab w:val="left" w:pos="851"/>
          <w:tab w:val="left" w:pos="993"/>
        </w:tabs>
        <w:spacing w:line="360" w:lineRule="auto"/>
        <w:ind w:firstLine="567"/>
        <w:jc w:val="both"/>
      </w:pPr>
      <w:r w:rsidRPr="00EA175D">
        <w:lastRenderedPageBreak/>
        <w:t>28</w:t>
      </w:r>
      <w:r w:rsidR="00EE7EE2" w:rsidRPr="00EA175D">
        <w:t>.</w:t>
      </w:r>
      <w:r w:rsidR="00EE7EE2" w:rsidRPr="00EA175D">
        <w:tab/>
        <w:t>Сдружение „МИГ - Севлиевски край“</w:t>
      </w:r>
      <w:r w:rsidR="00EE7EE2" w:rsidRPr="00EA175D">
        <w:tab/>
        <w:t>(територията на Община Севлиево);</w:t>
      </w:r>
    </w:p>
    <w:p w14:paraId="1EDC7671" w14:textId="77777777" w:rsidR="00EE7EE2" w:rsidRPr="00EA175D" w:rsidRDefault="00A54E61" w:rsidP="00EA175D">
      <w:pPr>
        <w:tabs>
          <w:tab w:val="left" w:pos="851"/>
          <w:tab w:val="left" w:pos="993"/>
        </w:tabs>
        <w:spacing w:line="360" w:lineRule="auto"/>
        <w:ind w:firstLine="567"/>
        <w:jc w:val="both"/>
      </w:pPr>
      <w:r w:rsidRPr="00EA175D">
        <w:t>29</w:t>
      </w:r>
      <w:r w:rsidR="00EE7EE2" w:rsidRPr="00EA175D">
        <w:t>.</w:t>
      </w:r>
      <w:r w:rsidR="00EE7EE2" w:rsidRPr="00EA175D">
        <w:tab/>
        <w:t>Община Калояново (територията на Община Калояново);</w:t>
      </w:r>
    </w:p>
    <w:p w14:paraId="0AB89D74" w14:textId="77777777" w:rsidR="00EE7EE2" w:rsidRPr="00EA175D" w:rsidRDefault="00A54E61" w:rsidP="00EA175D">
      <w:pPr>
        <w:tabs>
          <w:tab w:val="left" w:pos="851"/>
          <w:tab w:val="left" w:pos="993"/>
        </w:tabs>
        <w:spacing w:line="360" w:lineRule="auto"/>
        <w:ind w:firstLine="567"/>
        <w:jc w:val="both"/>
      </w:pPr>
      <w:r w:rsidRPr="00EA175D">
        <w:t>30</w:t>
      </w:r>
      <w:r w:rsidR="00EE7EE2" w:rsidRPr="00EA175D">
        <w:t>.</w:t>
      </w:r>
      <w:r w:rsidR="00EE7EE2" w:rsidRPr="00EA175D">
        <w:tab/>
        <w:t>Община Брацигово (територията на Община Брацигово и Община Кричим);</w:t>
      </w:r>
    </w:p>
    <w:p w14:paraId="677D1ACB" w14:textId="77777777" w:rsidR="00EE7EE2" w:rsidRPr="00EA175D" w:rsidRDefault="00841DB9" w:rsidP="00EA175D">
      <w:pPr>
        <w:tabs>
          <w:tab w:val="left" w:pos="851"/>
          <w:tab w:val="left" w:pos="993"/>
        </w:tabs>
        <w:spacing w:line="360" w:lineRule="auto"/>
        <w:ind w:firstLine="567"/>
        <w:jc w:val="both"/>
      </w:pPr>
      <w:r w:rsidRPr="00EA175D">
        <w:t>3</w:t>
      </w:r>
      <w:r w:rsidR="00A54E61" w:rsidRPr="00EA175D">
        <w:t>1</w:t>
      </w:r>
      <w:r w:rsidR="00EE7EE2" w:rsidRPr="00EA175D">
        <w:t>.</w:t>
      </w:r>
      <w:r w:rsidR="00EE7EE2" w:rsidRPr="00EA175D">
        <w:tab/>
        <w:t>Община Чавдар</w:t>
      </w:r>
      <w:r w:rsidR="00EE7EE2" w:rsidRPr="00EA175D">
        <w:tab/>
        <w:t>(територията на Община Чавдар, Община Златица, Община Мирково и Община Челопеч);</w:t>
      </w:r>
    </w:p>
    <w:p w14:paraId="4579CBAA" w14:textId="77777777" w:rsidR="00EE7EE2" w:rsidRPr="00EA175D" w:rsidRDefault="00EE7EE2" w:rsidP="00EA175D">
      <w:pPr>
        <w:tabs>
          <w:tab w:val="left" w:pos="851"/>
          <w:tab w:val="left" w:pos="993"/>
        </w:tabs>
        <w:spacing w:line="360" w:lineRule="auto"/>
        <w:ind w:firstLine="567"/>
        <w:jc w:val="both"/>
      </w:pPr>
      <w:r w:rsidRPr="00EA175D">
        <w:t>3</w:t>
      </w:r>
      <w:r w:rsidR="00A54E61" w:rsidRPr="00EA175D">
        <w:t>2</w:t>
      </w:r>
      <w:r w:rsidRPr="00EA175D">
        <w:t>.</w:t>
      </w:r>
      <w:r w:rsidRPr="00EA175D">
        <w:tab/>
        <w:t>Фондация „МИГ Западна Стара планина - Копрен – Миджур“ (територията на Община Чипровци, Община Георги Дамяново, Община Чупрене Община Ружинци);</w:t>
      </w:r>
    </w:p>
    <w:p w14:paraId="6C872481" w14:textId="77777777" w:rsidR="00EE7EE2" w:rsidRPr="00EA175D" w:rsidRDefault="00A54E61" w:rsidP="00EA175D">
      <w:pPr>
        <w:tabs>
          <w:tab w:val="left" w:pos="851"/>
          <w:tab w:val="left" w:pos="993"/>
        </w:tabs>
        <w:spacing w:line="360" w:lineRule="auto"/>
        <w:ind w:firstLine="567"/>
        <w:jc w:val="both"/>
      </w:pPr>
      <w:r w:rsidRPr="00EA175D">
        <w:t>33</w:t>
      </w:r>
      <w:r w:rsidR="00EE7EE2" w:rsidRPr="00EA175D">
        <w:t>.</w:t>
      </w:r>
      <w:r w:rsidR="00EE7EE2" w:rsidRPr="00EA175D">
        <w:tab/>
        <w:t>Община Бяла (територията  на Община Бяла и Община Борово);</w:t>
      </w:r>
    </w:p>
    <w:p w14:paraId="17904A59" w14:textId="77777777" w:rsidR="00EE7EE2" w:rsidRPr="00EA175D" w:rsidRDefault="00A54E61" w:rsidP="00EA175D">
      <w:pPr>
        <w:tabs>
          <w:tab w:val="left" w:pos="851"/>
          <w:tab w:val="left" w:pos="993"/>
        </w:tabs>
        <w:spacing w:line="360" w:lineRule="auto"/>
        <w:ind w:firstLine="567"/>
        <w:jc w:val="both"/>
      </w:pPr>
      <w:r w:rsidRPr="00EA175D">
        <w:t>34</w:t>
      </w:r>
      <w:r w:rsidR="00EE7EE2" w:rsidRPr="00EA175D">
        <w:t>.</w:t>
      </w:r>
      <w:r w:rsidR="00EE7EE2" w:rsidRPr="00EA175D">
        <w:tab/>
        <w:t>СНЦ „МИГ – Пещера“ (територията  на Община Пещера);</w:t>
      </w:r>
    </w:p>
    <w:p w14:paraId="1580F7F3" w14:textId="77777777" w:rsidR="00EE7EE2" w:rsidRPr="00EA175D" w:rsidRDefault="00A54E61" w:rsidP="00EA175D">
      <w:pPr>
        <w:tabs>
          <w:tab w:val="left" w:pos="851"/>
          <w:tab w:val="left" w:pos="993"/>
        </w:tabs>
        <w:spacing w:line="360" w:lineRule="auto"/>
        <w:ind w:firstLine="567"/>
        <w:jc w:val="both"/>
      </w:pPr>
      <w:r w:rsidRPr="00EA175D">
        <w:t>35</w:t>
      </w:r>
      <w:r w:rsidR="00EE7EE2" w:rsidRPr="00EA175D">
        <w:t>.</w:t>
      </w:r>
      <w:r w:rsidR="00EE7EE2" w:rsidRPr="00EA175D">
        <w:tab/>
        <w:t>СНЦ „МИГ ЛИДЕР на територията на Две Могили и Иваново“ (територията  на Община Две Могили и Община Иваново).</w:t>
      </w:r>
    </w:p>
    <w:p w14:paraId="0FB4E0EC" w14:textId="77777777" w:rsidR="00EE7EE2" w:rsidRPr="00EA175D" w:rsidRDefault="00EE7EE2" w:rsidP="00EA175D">
      <w:pPr>
        <w:spacing w:line="360" w:lineRule="auto"/>
        <w:jc w:val="both"/>
      </w:pPr>
    </w:p>
    <w:p w14:paraId="292587B1" w14:textId="77777777" w:rsidR="00EE7EE2" w:rsidRPr="00EA175D" w:rsidRDefault="00D55AFF" w:rsidP="00EA175D">
      <w:pPr>
        <w:spacing w:line="360" w:lineRule="auto"/>
        <w:ind w:firstLine="567"/>
        <w:jc w:val="both"/>
      </w:pPr>
      <w:r w:rsidRPr="00EA175D">
        <w:t>От страна на УО на ПРСР 2014 – 2020 г. са отхвърлени следните заявления за изразяване на интерес, като за всяко заявление са  представени мотивите за отхвърлянето</w:t>
      </w:r>
      <w:r w:rsidR="00EE7EE2" w:rsidRPr="00EA175D">
        <w:t>:</w:t>
      </w:r>
    </w:p>
    <w:p w14:paraId="1FD34F7E" w14:textId="77777777" w:rsidR="00EE7EE2" w:rsidRPr="00EA175D" w:rsidRDefault="00EE7EE2" w:rsidP="00EA175D">
      <w:pPr>
        <w:spacing w:line="360" w:lineRule="auto"/>
        <w:ind w:firstLine="567"/>
        <w:jc w:val="both"/>
      </w:pPr>
      <w:r w:rsidRPr="00EA175D">
        <w:t>1. СНЦ “МИГ Карлово” (територията  на Община Карлово);</w:t>
      </w:r>
    </w:p>
    <w:p w14:paraId="089D657A" w14:textId="77777777" w:rsidR="00EE7EE2" w:rsidRPr="00EA175D" w:rsidRDefault="00EE7EE2" w:rsidP="00EA175D">
      <w:pPr>
        <w:spacing w:line="360" w:lineRule="auto"/>
        <w:ind w:firstLine="567"/>
        <w:jc w:val="both"/>
      </w:pPr>
      <w:r w:rsidRPr="00EA175D">
        <w:t>2. Сдружение “МИГ Добричка” (територията  на Община Добричка);</w:t>
      </w:r>
    </w:p>
    <w:p w14:paraId="194A9E7D" w14:textId="77777777" w:rsidR="00EE7EE2" w:rsidRPr="00EA175D" w:rsidRDefault="00EE7EE2" w:rsidP="00EA175D">
      <w:pPr>
        <w:spacing w:line="360" w:lineRule="auto"/>
        <w:ind w:firstLine="567"/>
        <w:jc w:val="both"/>
      </w:pPr>
      <w:r w:rsidRPr="00EA175D">
        <w:t>3</w:t>
      </w:r>
      <w:r w:rsidRPr="00EA175D">
        <w:tab/>
        <w:t>. МИГ “Дългопол” (територията  на Община Дългопол ,Община Смядово);</w:t>
      </w:r>
    </w:p>
    <w:p w14:paraId="5EAED87B" w14:textId="77777777" w:rsidR="00EE7EE2" w:rsidRPr="00EA175D" w:rsidRDefault="00EE7EE2" w:rsidP="00EA175D">
      <w:pPr>
        <w:spacing w:line="360" w:lineRule="auto"/>
        <w:ind w:firstLine="567"/>
        <w:jc w:val="both"/>
      </w:pPr>
      <w:r w:rsidRPr="00EA175D">
        <w:t>4</w:t>
      </w:r>
      <w:r w:rsidRPr="00EA175D">
        <w:tab/>
        <w:t>.</w:t>
      </w:r>
      <w:r w:rsidR="00D55AFF" w:rsidRPr="00EA175D">
        <w:t xml:space="preserve"> </w:t>
      </w:r>
      <w:r w:rsidRPr="00EA175D">
        <w:t>Община Криводол</w:t>
      </w:r>
      <w:r w:rsidRPr="00EA175D">
        <w:tab/>
        <w:t xml:space="preserve"> (територията  на Община Криводол, Община Бойчиновци,Община Борован);</w:t>
      </w:r>
    </w:p>
    <w:p w14:paraId="74B3D3ED" w14:textId="77777777" w:rsidR="00EE7EE2" w:rsidRPr="00EA175D" w:rsidRDefault="00EE7EE2" w:rsidP="00EA175D">
      <w:pPr>
        <w:spacing w:line="360" w:lineRule="auto"/>
        <w:ind w:firstLine="567"/>
        <w:jc w:val="both"/>
      </w:pPr>
      <w:r w:rsidRPr="00EA175D">
        <w:t>5</w:t>
      </w:r>
      <w:r w:rsidRPr="00EA175D">
        <w:tab/>
        <w:t>.</w:t>
      </w:r>
      <w:r w:rsidR="00D55AFF" w:rsidRPr="00EA175D">
        <w:t xml:space="preserve"> </w:t>
      </w:r>
      <w:r w:rsidRPr="00EA175D">
        <w:t>Община Ракитово</w:t>
      </w:r>
      <w:r w:rsidRPr="00EA175D">
        <w:tab/>
        <w:t>(територията  на Община Ракитово и Община Батак);</w:t>
      </w:r>
    </w:p>
    <w:p w14:paraId="31D624DB" w14:textId="77777777" w:rsidR="00EE7EE2" w:rsidRPr="00EA175D" w:rsidRDefault="00EE7EE2" w:rsidP="00EA175D">
      <w:pPr>
        <w:spacing w:line="360" w:lineRule="auto"/>
        <w:ind w:firstLine="567"/>
        <w:jc w:val="both"/>
      </w:pPr>
      <w:r w:rsidRPr="00EA175D">
        <w:t>6</w:t>
      </w:r>
      <w:r w:rsidRPr="00EA175D">
        <w:tab/>
        <w:t>.</w:t>
      </w:r>
      <w:r w:rsidR="00D55AFF" w:rsidRPr="00EA175D">
        <w:t xml:space="preserve"> </w:t>
      </w:r>
      <w:r w:rsidRPr="00EA175D">
        <w:t>Община Сатовча (територията  на Община Сатовча);</w:t>
      </w:r>
    </w:p>
    <w:p w14:paraId="7F50C5D7" w14:textId="77777777" w:rsidR="00EE7EE2" w:rsidRPr="00EA175D" w:rsidRDefault="00EE7EE2" w:rsidP="00EA175D">
      <w:pPr>
        <w:spacing w:line="360" w:lineRule="auto"/>
        <w:ind w:firstLine="567"/>
        <w:jc w:val="both"/>
      </w:pPr>
      <w:r w:rsidRPr="00EA175D">
        <w:t>7</w:t>
      </w:r>
      <w:r w:rsidRPr="00EA175D">
        <w:tab/>
        <w:t>.</w:t>
      </w:r>
      <w:r w:rsidR="00D55AFF" w:rsidRPr="00EA175D">
        <w:t xml:space="preserve"> </w:t>
      </w:r>
      <w:r w:rsidRPr="00EA175D">
        <w:t xml:space="preserve">Сдружение “МИГ Ихтиман” </w:t>
      </w:r>
      <w:r w:rsidR="00A54E61" w:rsidRPr="00EA175D">
        <w:t>(територията  на Община Ихтиман</w:t>
      </w:r>
      <w:r w:rsidRPr="00EA175D">
        <w:t>)</w:t>
      </w:r>
      <w:r w:rsidR="00A54E61" w:rsidRPr="00EA175D">
        <w:t>;</w:t>
      </w:r>
    </w:p>
    <w:p w14:paraId="58C2B29A" w14:textId="77777777" w:rsidR="00A54E61" w:rsidRPr="00EA175D" w:rsidRDefault="00EE7EE2" w:rsidP="00EA175D">
      <w:pPr>
        <w:spacing w:line="360" w:lineRule="auto"/>
        <w:ind w:firstLine="567"/>
        <w:jc w:val="both"/>
      </w:pPr>
      <w:r w:rsidRPr="00EA175D">
        <w:t>8. МИГ “Приморско-Созопол” (територията  на Община Приморско и Община Созопол)</w:t>
      </w:r>
      <w:r w:rsidR="00A54E61" w:rsidRPr="00EA175D">
        <w:t>;</w:t>
      </w:r>
    </w:p>
    <w:p w14:paraId="404AB48F" w14:textId="77777777" w:rsidR="00EE7EE2" w:rsidRPr="00EA175D" w:rsidRDefault="00A54E61" w:rsidP="00EA175D">
      <w:pPr>
        <w:tabs>
          <w:tab w:val="left" w:pos="851"/>
          <w:tab w:val="left" w:pos="993"/>
        </w:tabs>
        <w:spacing w:line="360" w:lineRule="auto"/>
        <w:ind w:firstLine="567"/>
        <w:jc w:val="both"/>
      </w:pPr>
      <w:r w:rsidRPr="00EA175D">
        <w:t>9. МИГ „Стамболийски“ (територията на Община Стамболийски)</w:t>
      </w:r>
      <w:r w:rsidR="00EE7EE2" w:rsidRPr="00EA175D">
        <w:t>.</w:t>
      </w:r>
    </w:p>
    <w:p w14:paraId="0CFD9A09" w14:textId="77777777" w:rsidR="003E525A" w:rsidRPr="00EA175D" w:rsidRDefault="003E525A" w:rsidP="00EA175D">
      <w:pPr>
        <w:spacing w:line="360" w:lineRule="auto"/>
        <w:ind w:firstLine="567"/>
        <w:jc w:val="both"/>
      </w:pPr>
    </w:p>
    <w:p w14:paraId="780AF4B4" w14:textId="77777777" w:rsidR="00B915BC" w:rsidRPr="00EA175D" w:rsidRDefault="00B915BC" w:rsidP="00EA175D">
      <w:pPr>
        <w:spacing w:line="360" w:lineRule="auto"/>
        <w:ind w:firstLine="567"/>
        <w:jc w:val="both"/>
      </w:pPr>
      <w:r w:rsidRPr="00EA175D">
        <w:t>Графика.</w:t>
      </w:r>
      <w:r w:rsidRPr="00F77584">
        <w:rPr>
          <w:lang w:val="ru-RU"/>
        </w:rPr>
        <w:t xml:space="preserve"> </w:t>
      </w:r>
      <w:r w:rsidRPr="00EA175D">
        <w:t xml:space="preserve">Подадени и одобрени заявления по </w:t>
      </w:r>
      <w:r w:rsidR="002F03A7" w:rsidRPr="00EA175D">
        <w:t>втори</w:t>
      </w:r>
      <w:r w:rsidRPr="00EA175D">
        <w:t xml:space="preserve"> прием на подмярка 19.1. Процент на одобрение.</w:t>
      </w:r>
    </w:p>
    <w:p w14:paraId="575A8863" w14:textId="77777777" w:rsidR="00B915BC" w:rsidRPr="00EA175D" w:rsidRDefault="003C13B9" w:rsidP="00EA175D">
      <w:pPr>
        <w:spacing w:line="360" w:lineRule="auto"/>
        <w:ind w:firstLine="567"/>
        <w:jc w:val="both"/>
      </w:pPr>
      <w:r w:rsidRPr="00EA175D">
        <w:rPr>
          <w:lang w:val="it-IT" w:eastAsia="it-IT"/>
        </w:rPr>
        <w:lastRenderedPageBreak/>
        <mc:AlternateContent>
          <mc:Choice Requires="wps">
            <w:drawing>
              <wp:anchor distT="0" distB="0" distL="114300" distR="114300" simplePos="0" relativeHeight="251649024" behindDoc="0" locked="0" layoutInCell="1" allowOverlap="1" wp14:anchorId="06588728" wp14:editId="0D45C973">
                <wp:simplePos x="0" y="0"/>
                <wp:positionH relativeFrom="column">
                  <wp:posOffset>5152390</wp:posOffset>
                </wp:positionH>
                <wp:positionV relativeFrom="paragraph">
                  <wp:posOffset>318135</wp:posOffset>
                </wp:positionV>
                <wp:extent cx="695325" cy="228600"/>
                <wp:effectExtent l="0" t="0" r="0" b="0"/>
                <wp:wrapNone/>
                <wp:docPr id="15" name="Text Box 4"/>
                <wp:cNvGraphicFramePr/>
                <a:graphic xmlns:a="http://schemas.openxmlformats.org/drawingml/2006/main">
                  <a:graphicData uri="http://schemas.microsoft.com/office/word/2010/wordprocessingShape">
                    <wps:wsp>
                      <wps:cNvSpPr txBox="1"/>
                      <wps:spPr>
                        <a:xfrm>
                          <a:off x="0" y="0"/>
                          <a:ext cx="695325" cy="228600"/>
                        </a:xfrm>
                        <a:prstGeom prst="rect">
                          <a:avLst/>
                        </a:prstGeom>
                      </wps:spPr>
                      <wps:txbx>
                        <w:txbxContent>
                          <w:p w14:paraId="23C212C7" w14:textId="77777777" w:rsidR="006C23D3" w:rsidRDefault="006C23D3" w:rsidP="003C13B9">
                            <w:pPr>
                              <w:pStyle w:val="ae"/>
                              <w:spacing w:before="0" w:beforeAutospacing="0" w:after="0" w:afterAutospacing="0"/>
                            </w:pPr>
                            <w:r>
                              <w:rPr>
                                <w:rFonts w:asciiTheme="minorHAnsi" w:hAnsi="Calibri" w:cstheme="minorBidi"/>
                                <w:b/>
                                <w:bCs/>
                                <w:sz w:val="16"/>
                                <w:szCs w:val="16"/>
                                <w:lang w:val="bg-BG"/>
                              </w:rPr>
                              <w:t>7</w:t>
                            </w:r>
                            <w:r>
                              <w:rPr>
                                <w:rFonts w:asciiTheme="minorHAnsi" w:hAnsi="Calibri" w:cstheme="minorBidi"/>
                                <w:b/>
                                <w:bCs/>
                                <w:sz w:val="16"/>
                                <w:szCs w:val="16"/>
                              </w:rPr>
                              <w:t>7</w:t>
                            </w:r>
                            <w:r>
                              <w:rPr>
                                <w:rFonts w:asciiTheme="minorHAnsi" w:hAnsi="Calibri" w:cstheme="minorBidi"/>
                                <w:b/>
                                <w:bCs/>
                                <w:sz w:val="16"/>
                                <w:szCs w:val="16"/>
                                <w:lang w:val="bg-BG"/>
                              </w:rPr>
                              <w:t>,5</w:t>
                            </w:r>
                            <w:r>
                              <w:rPr>
                                <w:rFonts w:asciiTheme="minorHAnsi" w:hAnsi="Calibri" w:cstheme="minorBidi"/>
                                <w:b/>
                                <w:bCs/>
                                <w:sz w:val="16"/>
                                <w:szCs w:val="16"/>
                              </w:rPr>
                              <w:t>0</w:t>
                            </w:r>
                            <w:r>
                              <w:rPr>
                                <w:rFonts w:asciiTheme="minorHAnsi" w:hAnsi="Calibri" w:cstheme="minorBidi"/>
                                <w:b/>
                                <w:bCs/>
                                <w:sz w:val="16"/>
                                <w:szCs w:val="16"/>
                                <w:lang w:val="bg-BG"/>
                              </w:rPr>
                              <w:t>%</w:t>
                            </w:r>
                          </w:p>
                        </w:txbxContent>
                      </wps:txbx>
                      <wps:bodyPr vertOverflow="clip" wrap="square" rtlCol="0">
                        <a:noAutofit/>
                      </wps:bodyPr>
                    </wps:wsp>
                  </a:graphicData>
                </a:graphic>
                <wp14:sizeRelV relativeFrom="margin">
                  <wp14:pctHeight>0</wp14:pctHeight>
                </wp14:sizeRelV>
              </wp:anchor>
            </w:drawing>
          </mc:Choice>
          <mc:Fallback>
            <w:pict>
              <v:shape id="Text Box 4" o:spid="_x0000_s1035" type="#_x0000_t202" style="position:absolute;left:0;text-align:left;margin-left:405.7pt;margin-top:25.05pt;width:54.75pt;height:18pt;z-index:2516490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" filled="f" stroked="f">
                <v:textbox>
                  <w:txbxContent>
                    <w:p w14:paraId="23C212C7" w14:textId="77777777" w:rsidR="00165A99" w:rsidRDefault="00165A99" w:rsidP="003C13B9">
                      <w:pPr>
                        <w:pStyle w:val="NormalWeb"/>
                        <w:spacing w:before="0" w:beforeAutospacing="0" w:after="0" w:afterAutospacing="0"/>
                      </w:pPr>
                      <w:r>
                        <w:rPr>
                          <w:rFonts w:asciiTheme="minorHAnsi" w:hAnsi="Calibri" w:cstheme="minorBidi"/>
                          <w:b/>
                          <w:bCs/>
                          <w:sz w:val="16"/>
                          <w:szCs w:val="16"/>
                          <w:lang w:val="bg-BG"/>
                        </w:rPr>
                        <w:t>7</w:t>
                      </w:r>
                      <w:r>
                        <w:rPr>
                          <w:rFonts w:asciiTheme="minorHAnsi" w:hAnsi="Calibri" w:cstheme="minorBidi"/>
                          <w:b/>
                          <w:bCs/>
                          <w:sz w:val="16"/>
                          <w:szCs w:val="16"/>
                        </w:rPr>
                        <w:t>7</w:t>
                      </w:r>
                      <w:r>
                        <w:rPr>
                          <w:rFonts w:asciiTheme="minorHAnsi" w:hAnsi="Calibri" w:cstheme="minorBidi"/>
                          <w:b/>
                          <w:bCs/>
                          <w:sz w:val="16"/>
                          <w:szCs w:val="16"/>
                          <w:lang w:val="bg-BG"/>
                        </w:rPr>
                        <w:t>,5</w:t>
                      </w:r>
                      <w:r>
                        <w:rPr>
                          <w:rFonts w:asciiTheme="minorHAnsi" w:hAnsi="Calibri" w:cstheme="minorBidi"/>
                          <w:b/>
                          <w:bCs/>
                          <w:sz w:val="16"/>
                          <w:szCs w:val="16"/>
                        </w:rPr>
                        <w:t>0</w:t>
                      </w:r>
                      <w:r>
                        <w:rPr>
                          <w:rFonts w:asciiTheme="minorHAnsi" w:hAnsi="Calibri" w:cstheme="minorBidi"/>
                          <w:b/>
                          <w:bCs/>
                          <w:sz w:val="16"/>
                          <w:szCs w:val="16"/>
                          <w:lang w:val="bg-BG"/>
                        </w:rPr>
                        <w:t>%</w:t>
                      </w:r>
                    </w:p>
                  </w:txbxContent>
                </v:textbox>
              </v:shape>
            </w:pict>
          </mc:Fallback>
        </mc:AlternateContent>
      </w:r>
      <w:r w:rsidRPr="00EA175D">
        <w:rPr>
          <w:lang w:val="it-IT" w:eastAsia="it-IT"/>
        </w:rPr>
        <mc:AlternateContent>
          <mc:Choice Requires="wps">
            <w:drawing>
              <wp:anchor distT="0" distB="0" distL="114300" distR="114300" simplePos="0" relativeHeight="251644928" behindDoc="0" locked="0" layoutInCell="1" allowOverlap="1" wp14:anchorId="494DF1EE" wp14:editId="4E47174B">
                <wp:simplePos x="0" y="0"/>
                <wp:positionH relativeFrom="column">
                  <wp:posOffset>3685540</wp:posOffset>
                </wp:positionH>
                <wp:positionV relativeFrom="paragraph">
                  <wp:posOffset>327025</wp:posOffset>
                </wp:positionV>
                <wp:extent cx="590550" cy="219075"/>
                <wp:effectExtent l="0" t="0" r="0" b="0"/>
                <wp:wrapNone/>
                <wp:docPr id="14" name="Text Box 3"/>
                <wp:cNvGraphicFramePr/>
                <a:graphic xmlns:a="http://schemas.openxmlformats.org/drawingml/2006/main">
                  <a:graphicData uri="http://schemas.microsoft.com/office/word/2010/wordprocessingShape">
                    <wps:wsp>
                      <wps:cNvSpPr txBox="1"/>
                      <wps:spPr>
                        <a:xfrm>
                          <a:off x="0" y="0"/>
                          <a:ext cx="590550" cy="219075"/>
                        </a:xfrm>
                        <a:prstGeom prst="rect">
                          <a:avLst/>
                        </a:prstGeom>
                      </wps:spPr>
                      <wps:txbx>
                        <w:txbxContent>
                          <w:p w14:paraId="1646393A" w14:textId="77777777" w:rsidR="006C23D3" w:rsidRDefault="006C23D3" w:rsidP="003C13B9">
                            <w:pPr>
                              <w:pStyle w:val="ae"/>
                              <w:spacing w:before="0" w:beforeAutospacing="0" w:after="0" w:afterAutospacing="0"/>
                            </w:pPr>
                            <w:r>
                              <w:rPr>
                                <w:rFonts w:asciiTheme="minorHAnsi" w:hAnsi="Calibri" w:cstheme="minorBidi"/>
                                <w:b/>
                                <w:bCs/>
                                <w:sz w:val="16"/>
                                <w:szCs w:val="16"/>
                                <w:lang w:val="bg-BG"/>
                              </w:rPr>
                              <w:t>7</w:t>
                            </w:r>
                            <w:r>
                              <w:rPr>
                                <w:rFonts w:asciiTheme="minorHAnsi" w:hAnsi="Calibri" w:cstheme="minorBidi"/>
                                <w:b/>
                                <w:bCs/>
                                <w:sz w:val="16"/>
                                <w:szCs w:val="16"/>
                              </w:rPr>
                              <w:t>6</w:t>
                            </w:r>
                            <w:r>
                              <w:rPr>
                                <w:rFonts w:asciiTheme="minorHAnsi" w:hAnsi="Calibri" w:cstheme="minorBidi"/>
                                <w:b/>
                                <w:bCs/>
                                <w:sz w:val="16"/>
                                <w:szCs w:val="16"/>
                                <w:lang w:val="bg-BG"/>
                              </w:rPr>
                              <w:t>,</w:t>
                            </w:r>
                            <w:r>
                              <w:rPr>
                                <w:rFonts w:asciiTheme="minorHAnsi" w:hAnsi="Calibri" w:cstheme="minorBidi"/>
                                <w:b/>
                                <w:bCs/>
                                <w:sz w:val="16"/>
                                <w:szCs w:val="16"/>
                              </w:rPr>
                              <w:t>55</w:t>
                            </w:r>
                            <w:r>
                              <w:rPr>
                                <w:rFonts w:asciiTheme="minorHAnsi" w:hAnsi="Calibri" w:cstheme="minorBidi"/>
                                <w:b/>
                                <w:bCs/>
                                <w:sz w:val="16"/>
                                <w:szCs w:val="16"/>
                                <w:lang w:val="bg-BG"/>
                              </w:rPr>
                              <w:t>%</w:t>
                            </w:r>
                          </w:p>
                        </w:txbxContent>
                      </wps:txbx>
                      <wps:bodyPr vertOverflow="clip" wrap="square" rtlCol="0">
                        <a:noAutofit/>
                      </wps:bodyPr>
                    </wps:wsp>
                  </a:graphicData>
                </a:graphic>
                <wp14:sizeRelV relativeFrom="margin">
                  <wp14:pctHeight>0</wp14:pctHeight>
                </wp14:sizeRelV>
              </wp:anchor>
            </w:drawing>
          </mc:Choice>
          <mc:Fallback>
            <w:pict>
              <v:shape id="Text Box 3" o:spid="_x0000_s1036" type="#_x0000_t202" style="position:absolute;left:0;text-align:left;margin-left:290.2pt;margin-top:25.75pt;width:46.5pt;height:17.25pt;z-index:251644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" filled="f" stroked="f">
                <v:textbox>
                  <w:txbxContent>
                    <w:p w14:paraId="1646393A" w14:textId="77777777" w:rsidR="00165A99" w:rsidRDefault="00165A99" w:rsidP="003C13B9">
                      <w:pPr>
                        <w:pStyle w:val="NormalWeb"/>
                        <w:spacing w:before="0" w:beforeAutospacing="0" w:after="0" w:afterAutospacing="0"/>
                      </w:pPr>
                      <w:r>
                        <w:rPr>
                          <w:rFonts w:asciiTheme="minorHAnsi" w:hAnsi="Calibri" w:cstheme="minorBidi"/>
                          <w:b/>
                          <w:bCs/>
                          <w:sz w:val="16"/>
                          <w:szCs w:val="16"/>
                          <w:lang w:val="bg-BG"/>
                        </w:rPr>
                        <w:t>7</w:t>
                      </w:r>
                      <w:r>
                        <w:rPr>
                          <w:rFonts w:asciiTheme="minorHAnsi" w:hAnsi="Calibri" w:cstheme="minorBidi"/>
                          <w:b/>
                          <w:bCs/>
                          <w:sz w:val="16"/>
                          <w:szCs w:val="16"/>
                        </w:rPr>
                        <w:t>6</w:t>
                      </w:r>
                      <w:r>
                        <w:rPr>
                          <w:rFonts w:asciiTheme="minorHAnsi" w:hAnsi="Calibri" w:cstheme="minorBidi"/>
                          <w:b/>
                          <w:bCs/>
                          <w:sz w:val="16"/>
                          <w:szCs w:val="16"/>
                          <w:lang w:val="bg-BG"/>
                        </w:rPr>
                        <w:t>,</w:t>
                      </w:r>
                      <w:r>
                        <w:rPr>
                          <w:rFonts w:asciiTheme="minorHAnsi" w:hAnsi="Calibri" w:cstheme="minorBidi"/>
                          <w:b/>
                          <w:bCs/>
                          <w:sz w:val="16"/>
                          <w:szCs w:val="16"/>
                        </w:rPr>
                        <w:t>55</w:t>
                      </w:r>
                      <w:r>
                        <w:rPr>
                          <w:rFonts w:asciiTheme="minorHAnsi" w:hAnsi="Calibri" w:cstheme="minorBidi"/>
                          <w:b/>
                          <w:bCs/>
                          <w:sz w:val="16"/>
                          <w:szCs w:val="16"/>
                          <w:lang w:val="bg-BG"/>
                        </w:rPr>
                        <w:t>%</w:t>
                      </w:r>
                    </w:p>
                  </w:txbxContent>
                </v:textbox>
              </v:shape>
            </w:pict>
          </mc:Fallback>
        </mc:AlternateContent>
      </w:r>
      <w:r w:rsidRPr="00EA175D">
        <w:rPr>
          <w:lang w:val="it-IT" w:eastAsia="it-IT"/>
        </w:rPr>
        <mc:AlternateContent>
          <mc:Choice Requires="wps">
            <w:drawing>
              <wp:anchor distT="0" distB="0" distL="114300" distR="114300" simplePos="0" relativeHeight="251640832" behindDoc="0" locked="0" layoutInCell="1" allowOverlap="1" wp14:anchorId="18557E4D" wp14:editId="22DB1296">
                <wp:simplePos x="0" y="0"/>
                <wp:positionH relativeFrom="column">
                  <wp:posOffset>2266315</wp:posOffset>
                </wp:positionH>
                <wp:positionV relativeFrom="paragraph">
                  <wp:posOffset>327660</wp:posOffset>
                </wp:positionV>
                <wp:extent cx="495300" cy="288290"/>
                <wp:effectExtent l="0" t="0" r="0" b="0"/>
                <wp:wrapNone/>
                <wp:docPr id="13" name="Text Box 2"/>
                <wp:cNvGraphicFramePr/>
                <a:graphic xmlns:a="http://schemas.openxmlformats.org/drawingml/2006/main">
                  <a:graphicData uri="http://schemas.microsoft.com/office/word/2010/wordprocessingShape">
                    <wps:wsp>
                      <wps:cNvSpPr txBox="1"/>
                      <wps:spPr>
                        <a:xfrm>
                          <a:off x="0" y="0"/>
                          <a:ext cx="495300" cy="288290"/>
                        </a:xfrm>
                        <a:prstGeom prst="rect">
                          <a:avLst/>
                        </a:prstGeom>
                      </wps:spPr>
                      <wps:txbx>
                        <w:txbxContent>
                          <w:p w14:paraId="7C8C2F4B" w14:textId="77777777" w:rsidR="006C23D3" w:rsidRDefault="006C23D3" w:rsidP="003C13B9">
                            <w:pPr>
                              <w:pStyle w:val="ae"/>
                              <w:spacing w:before="0" w:beforeAutospacing="0" w:after="0" w:afterAutospacing="0"/>
                            </w:pPr>
                            <w:r>
                              <w:rPr>
                                <w:rFonts w:asciiTheme="minorHAnsi" w:hAnsi="Calibri" w:cstheme="minorBidi"/>
                                <w:b/>
                                <w:bCs/>
                                <w:sz w:val="16"/>
                                <w:szCs w:val="16"/>
                              </w:rPr>
                              <w:t>81</w:t>
                            </w:r>
                            <w:r>
                              <w:rPr>
                                <w:rFonts w:asciiTheme="minorHAnsi" w:hAnsi="Calibri" w:cstheme="minorBidi"/>
                                <w:b/>
                                <w:bCs/>
                                <w:sz w:val="16"/>
                                <w:szCs w:val="16"/>
                                <w:lang w:val="bg-BG"/>
                              </w:rPr>
                              <w:t>,</w:t>
                            </w:r>
                            <w:r>
                              <w:rPr>
                                <w:rFonts w:asciiTheme="minorHAnsi" w:hAnsi="Calibri" w:cstheme="minorBidi"/>
                                <w:b/>
                                <w:bCs/>
                                <w:sz w:val="16"/>
                                <w:szCs w:val="16"/>
                              </w:rPr>
                              <w:t>33</w:t>
                            </w:r>
                            <w:r>
                              <w:rPr>
                                <w:rFonts w:asciiTheme="minorHAnsi" w:hAnsi="Calibri" w:cstheme="minorBidi"/>
                                <w:b/>
                                <w:bCs/>
                                <w:sz w:val="16"/>
                                <w:szCs w:val="16"/>
                                <w:lang w:val="bg-BG"/>
                              </w:rPr>
                              <w:t>%</w:t>
                            </w:r>
                          </w:p>
                        </w:txbxContent>
                      </wps:txbx>
                      <wps:bodyPr vertOverflow="clip" wrap="square" rtlCol="0">
                        <a:noAutofit/>
                      </wps:bodyPr>
                    </wps:wsp>
                  </a:graphicData>
                </a:graphic>
                <wp14:sizeRelV relativeFrom="margin">
                  <wp14:pctHeight>0</wp14:pctHeight>
                </wp14:sizeRelV>
              </wp:anchor>
            </w:drawing>
          </mc:Choice>
          <mc:Fallback>
            <w:pict>
              <v:shape id="_x0000_s1037" type="#_x0000_t202" style="position:absolute;left:0;text-align:left;margin-left:178.45pt;margin-top:25.8pt;width:39pt;height:22.7pt;z-index:2516408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" filled="f" stroked="f">
                <v:textbox>
                  <w:txbxContent>
                    <w:p w14:paraId="7C8C2F4B" w14:textId="77777777" w:rsidR="00165A99" w:rsidRDefault="00165A99" w:rsidP="003C13B9">
                      <w:pPr>
                        <w:pStyle w:val="NormalWeb"/>
                        <w:spacing w:before="0" w:beforeAutospacing="0" w:after="0" w:afterAutospacing="0"/>
                      </w:pPr>
                      <w:r>
                        <w:rPr>
                          <w:rFonts w:asciiTheme="minorHAnsi" w:hAnsi="Calibri" w:cstheme="minorBidi"/>
                          <w:b/>
                          <w:bCs/>
                          <w:sz w:val="16"/>
                          <w:szCs w:val="16"/>
                        </w:rPr>
                        <w:t>81</w:t>
                      </w:r>
                      <w:r>
                        <w:rPr>
                          <w:rFonts w:asciiTheme="minorHAnsi" w:hAnsi="Calibri" w:cstheme="minorBidi"/>
                          <w:b/>
                          <w:bCs/>
                          <w:sz w:val="16"/>
                          <w:szCs w:val="16"/>
                          <w:lang w:val="bg-BG"/>
                        </w:rPr>
                        <w:t>,</w:t>
                      </w:r>
                      <w:r>
                        <w:rPr>
                          <w:rFonts w:asciiTheme="minorHAnsi" w:hAnsi="Calibri" w:cstheme="minorBidi"/>
                          <w:b/>
                          <w:bCs/>
                          <w:sz w:val="16"/>
                          <w:szCs w:val="16"/>
                        </w:rPr>
                        <w:t>33</w:t>
                      </w:r>
                      <w:r>
                        <w:rPr>
                          <w:rFonts w:asciiTheme="minorHAnsi" w:hAnsi="Calibri" w:cstheme="minorBidi"/>
                          <w:b/>
                          <w:bCs/>
                          <w:sz w:val="16"/>
                          <w:szCs w:val="16"/>
                          <w:lang w:val="bg-BG"/>
                        </w:rPr>
                        <w:t>%</w:t>
                      </w:r>
                    </w:p>
                  </w:txbxContent>
                </v:textbox>
              </v:shape>
            </w:pict>
          </mc:Fallback>
        </mc:AlternateContent>
      </w:r>
      <w:r w:rsidRPr="00EA175D">
        <w:rPr>
          <w:lang w:val="it-IT" w:eastAsia="it-IT"/>
        </w:rPr>
        <mc:AlternateContent>
          <mc:Choice Requires="wps">
            <w:drawing>
              <wp:anchor distT="0" distB="0" distL="114300" distR="114300" simplePos="0" relativeHeight="251636736" behindDoc="0" locked="0" layoutInCell="1" allowOverlap="1" wp14:anchorId="4964CA53" wp14:editId="3AB2B715">
                <wp:simplePos x="0" y="0"/>
                <wp:positionH relativeFrom="column">
                  <wp:posOffset>970915</wp:posOffset>
                </wp:positionH>
                <wp:positionV relativeFrom="paragraph">
                  <wp:posOffset>320675</wp:posOffset>
                </wp:positionV>
                <wp:extent cx="619125" cy="297815"/>
                <wp:effectExtent l="0" t="0" r="0" b="0"/>
                <wp:wrapNone/>
                <wp:docPr id="12" name="Text Box 1"/>
                <wp:cNvGraphicFramePr/>
                <a:graphic xmlns:a="http://schemas.openxmlformats.org/drawingml/2006/main">
                  <a:graphicData uri="http://schemas.microsoft.com/office/word/2010/wordprocessingShape">
                    <wps:wsp>
                      <wps:cNvSpPr txBox="1"/>
                      <wps:spPr>
                        <a:xfrm>
                          <a:off x="0" y="0"/>
                          <a:ext cx="619125" cy="297815"/>
                        </a:xfrm>
                        <a:prstGeom prst="rect">
                          <a:avLst/>
                        </a:prstGeom>
                      </wps:spPr>
                      <wps:txbx>
                        <w:txbxContent>
                          <w:p w14:paraId="64D54813" w14:textId="77777777" w:rsidR="006C23D3" w:rsidRDefault="006C23D3" w:rsidP="003C13B9">
                            <w:pPr>
                              <w:pStyle w:val="ae"/>
                              <w:spacing w:before="0" w:beforeAutospacing="0" w:after="0" w:afterAutospacing="0"/>
                            </w:pPr>
                            <w:r>
                              <w:rPr>
                                <w:rFonts w:asciiTheme="minorHAnsi" w:hAnsi="Calibri" w:cstheme="minorBidi"/>
                                <w:b/>
                                <w:bCs/>
                                <w:sz w:val="16"/>
                                <w:szCs w:val="16"/>
                                <w:lang w:val="bg-BG"/>
                              </w:rPr>
                              <w:t>7</w:t>
                            </w:r>
                            <w:r>
                              <w:rPr>
                                <w:rFonts w:asciiTheme="minorHAnsi" w:hAnsi="Calibri" w:cstheme="minorBidi"/>
                                <w:b/>
                                <w:bCs/>
                                <w:sz w:val="16"/>
                                <w:szCs w:val="16"/>
                              </w:rPr>
                              <w:t>9</w:t>
                            </w:r>
                            <w:r>
                              <w:rPr>
                                <w:rFonts w:asciiTheme="minorHAnsi" w:hAnsi="Calibri" w:cstheme="minorBidi"/>
                                <w:b/>
                                <w:bCs/>
                                <w:sz w:val="16"/>
                                <w:szCs w:val="16"/>
                                <w:lang w:val="bg-BG"/>
                              </w:rPr>
                              <w:t>,</w:t>
                            </w:r>
                            <w:r>
                              <w:rPr>
                                <w:rFonts w:asciiTheme="minorHAnsi" w:hAnsi="Calibri" w:cstheme="minorBidi"/>
                                <w:b/>
                                <w:bCs/>
                                <w:sz w:val="16"/>
                                <w:szCs w:val="16"/>
                              </w:rPr>
                              <w:t>55</w:t>
                            </w:r>
                            <w:r>
                              <w:rPr>
                                <w:rFonts w:asciiTheme="minorHAnsi" w:hAnsi="Calibri" w:cstheme="minorBidi"/>
                                <w:b/>
                                <w:bCs/>
                                <w:sz w:val="16"/>
                                <w:szCs w:val="16"/>
                                <w:lang w:val="bg-BG"/>
                              </w:rPr>
                              <w:t>%</w:t>
                            </w:r>
                          </w:p>
                        </w:txbxContent>
                      </wps:txbx>
                      <wps:bodyPr vertOverflow="clip" wrap="square" rtlCol="0"/>
                    </wps:wsp>
                  </a:graphicData>
                </a:graphic>
              </wp:anchor>
            </w:drawing>
          </mc:Choice>
          <mc:Fallback>
            <w:pict>
              <v:shape id="_x0000_s1038" type="#_x0000_t202" style="position:absolute;left:0;text-align:left;margin-left:76.45pt;margin-top:25.25pt;width:48.75pt;height:23.45pt;z-index:251636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" filled="f" stroked="f">
                <v:textbox>
                  <w:txbxContent>
                    <w:p w14:paraId="64D54813" w14:textId="77777777" w:rsidR="00165A99" w:rsidRDefault="00165A99" w:rsidP="003C13B9">
                      <w:pPr>
                        <w:pStyle w:val="NormalWeb"/>
                        <w:spacing w:before="0" w:beforeAutospacing="0" w:after="0" w:afterAutospacing="0"/>
                      </w:pPr>
                      <w:r>
                        <w:rPr>
                          <w:rFonts w:asciiTheme="minorHAnsi" w:hAnsi="Calibri" w:cstheme="minorBidi"/>
                          <w:b/>
                          <w:bCs/>
                          <w:sz w:val="16"/>
                          <w:szCs w:val="16"/>
                          <w:lang w:val="bg-BG"/>
                        </w:rPr>
                        <w:t>7</w:t>
                      </w:r>
                      <w:r>
                        <w:rPr>
                          <w:rFonts w:asciiTheme="minorHAnsi" w:hAnsi="Calibri" w:cstheme="minorBidi"/>
                          <w:b/>
                          <w:bCs/>
                          <w:sz w:val="16"/>
                          <w:szCs w:val="16"/>
                        </w:rPr>
                        <w:t>9</w:t>
                      </w:r>
                      <w:r>
                        <w:rPr>
                          <w:rFonts w:asciiTheme="minorHAnsi" w:hAnsi="Calibri" w:cstheme="minorBidi"/>
                          <w:b/>
                          <w:bCs/>
                          <w:sz w:val="16"/>
                          <w:szCs w:val="16"/>
                          <w:lang w:val="bg-BG"/>
                        </w:rPr>
                        <w:t>,</w:t>
                      </w:r>
                      <w:r>
                        <w:rPr>
                          <w:rFonts w:asciiTheme="minorHAnsi" w:hAnsi="Calibri" w:cstheme="minorBidi"/>
                          <w:b/>
                          <w:bCs/>
                          <w:sz w:val="16"/>
                          <w:szCs w:val="16"/>
                        </w:rPr>
                        <w:t>55</w:t>
                      </w:r>
                      <w:r>
                        <w:rPr>
                          <w:rFonts w:asciiTheme="minorHAnsi" w:hAnsi="Calibri" w:cstheme="minorBidi"/>
                          <w:b/>
                          <w:bCs/>
                          <w:sz w:val="16"/>
                          <w:szCs w:val="16"/>
                          <w:lang w:val="bg-BG"/>
                        </w:rPr>
                        <w:t>%</w:t>
                      </w:r>
                    </w:p>
                  </w:txbxContent>
                </v:textbox>
              </v:shape>
            </w:pict>
          </mc:Fallback>
        </mc:AlternateContent>
      </w:r>
      <w:r w:rsidRPr="00EA175D">
        <w:rPr>
          <w:lang w:val="it-IT" w:eastAsia="it-IT"/>
        </w:rPr>
        <mc:AlternateContent>
          <mc:Choice Requires="wps">
            <w:drawing>
              <wp:anchor distT="0" distB="0" distL="114300" distR="114300" simplePos="0" relativeHeight="251632640" behindDoc="0" locked="0" layoutInCell="1" allowOverlap="1" wp14:anchorId="75266DCD" wp14:editId="5E4F551F">
                <wp:simplePos x="0" y="0"/>
                <wp:positionH relativeFrom="column">
                  <wp:posOffset>780415</wp:posOffset>
                </wp:positionH>
                <wp:positionV relativeFrom="paragraph">
                  <wp:posOffset>146685</wp:posOffset>
                </wp:positionV>
                <wp:extent cx="971550" cy="228600"/>
                <wp:effectExtent l="0" t="0" r="0" b="0"/>
                <wp:wrapNone/>
                <wp:docPr id="11" name="Text Box 1"/>
                <wp:cNvGraphicFramePr/>
                <a:graphic xmlns:a="http://schemas.openxmlformats.org/drawingml/2006/main">
                  <a:graphicData uri="http://schemas.microsoft.com/office/word/2010/wordprocessingShape">
                    <wps:wsp>
                      <wps:cNvSpPr txBox="1"/>
                      <wps:spPr>
                        <a:xfrm>
                          <a:off x="0" y="0"/>
                          <a:ext cx="971550" cy="228600"/>
                        </a:xfrm>
                        <a:prstGeom prst="rect">
                          <a:avLst/>
                        </a:prstGeom>
                      </wps:spPr>
                      <wps:txbx>
                        <w:txbxContent>
                          <w:p w14:paraId="1E341935" w14:textId="77777777" w:rsidR="006C23D3" w:rsidRDefault="006C23D3" w:rsidP="003C13B9">
                            <w:pPr>
                              <w:pStyle w:val="ae"/>
                              <w:spacing w:before="0" w:beforeAutospacing="0" w:after="0" w:afterAutospacing="0"/>
                            </w:pPr>
                            <w:r>
                              <w:rPr>
                                <w:rFonts w:ascii="Calibri" w:eastAsia="+mn-ea" w:hAnsi="Calibri" w:cs="+mn-cs"/>
                                <w:b/>
                                <w:bCs/>
                                <w:sz w:val="16"/>
                                <w:szCs w:val="16"/>
                                <w:lang w:val="bg-BG"/>
                              </w:rPr>
                              <w:t>% на одобрение</w:t>
                            </w:r>
                          </w:p>
                        </w:txbxContent>
                      </wps:txbx>
                      <wps:bodyPr vertOverflow="clip" wrap="square" rtlCol="0"/>
                    </wps:wsp>
                  </a:graphicData>
                </a:graphic>
              </wp:anchor>
            </w:drawing>
          </mc:Choice>
          <mc:Fallback>
            <w:pict>
              <v:shape id="_x0000_s1039" type="#_x0000_t202" style="position:absolute;left:0;text-align:left;margin-left:61.45pt;margin-top:11.55pt;width:76.5pt;height:18pt;z-index:251632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" filled="f" stroked="f">
                <v:textbox>
                  <w:txbxContent>
                    <w:p w14:paraId="1E341935" w14:textId="77777777" w:rsidR="00165A99" w:rsidRDefault="00165A99" w:rsidP="003C13B9">
                      <w:pPr>
                        <w:pStyle w:val="NormalWeb"/>
                        <w:spacing w:before="0" w:beforeAutospacing="0" w:after="0" w:afterAutospacing="0"/>
                      </w:pPr>
                      <w:r>
                        <w:rPr>
                          <w:rFonts w:ascii="Calibri" w:eastAsia="+mn-ea" w:hAnsi="Calibri" w:cs="+mn-cs"/>
                          <w:b/>
                          <w:bCs/>
                          <w:sz w:val="16"/>
                          <w:szCs w:val="16"/>
                          <w:lang w:val="bg-BG"/>
                        </w:rPr>
                        <w:t>% на одобрение</w:t>
                      </w:r>
                    </w:p>
                  </w:txbxContent>
                </v:textbox>
              </v:shape>
            </w:pict>
          </mc:Fallback>
        </mc:AlternateContent>
      </w:r>
      <w:r w:rsidR="00ED0150" w:rsidRPr="00EA175D">
        <w:rPr>
          <w:lang w:val="it-IT" w:eastAsia="it-IT"/>
        </w:rPr>
        <w:drawing>
          <wp:inline distT="0" distB="0" distL="0" distR="0" wp14:anchorId="248165A6" wp14:editId="43D9B493">
            <wp:extent cx="5227320" cy="3825240"/>
            <wp:effectExtent l="0" t="0" r="11430" b="381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472F267D" w14:textId="77777777" w:rsidR="003E525A" w:rsidRPr="00EA175D" w:rsidRDefault="003E525A" w:rsidP="00EA175D">
      <w:pPr>
        <w:spacing w:line="360" w:lineRule="auto"/>
        <w:jc w:val="both"/>
      </w:pPr>
    </w:p>
    <w:p w14:paraId="76E47228" w14:textId="5F5ECE47" w:rsidR="00EE7EE2" w:rsidRPr="00EA175D" w:rsidRDefault="004D4AA9" w:rsidP="00EA175D">
      <w:pPr>
        <w:spacing w:line="360" w:lineRule="auto"/>
        <w:ind w:firstLine="709"/>
        <w:jc w:val="both"/>
      </w:pPr>
      <w:r w:rsidRPr="00EA175D">
        <w:t xml:space="preserve">От представената на графиката информация е видно, че нивото на одобрените по втория прием по подмярка 19.1 заявления е 79,55%, което е приблизително </w:t>
      </w:r>
      <w:r w:rsidRPr="00F77584">
        <w:rPr>
          <w:lang w:val="ru-RU"/>
        </w:rPr>
        <w:t xml:space="preserve">4/5 </w:t>
      </w:r>
      <w:r w:rsidRPr="00EA175D">
        <w:t>от всички подадени заявления и с 5% по-високо ниво на одобрение от регистрираното по първи прием. Делът на обхванатите в одобрените заявления общини е 81,33% от от всички, подали заявления, като отново това е по-висока стойност от регистрината съща по първи прием. При обхвата на одобрените територии и население д</w:t>
      </w:r>
      <w:r w:rsidR="000C0472" w:rsidRPr="00EA175D">
        <w:t>елът е</w:t>
      </w:r>
      <w:r w:rsidRPr="00EA175D">
        <w:t xml:space="preserve"> съответно 7</w:t>
      </w:r>
      <w:r w:rsidR="000C0472" w:rsidRPr="00EA175D">
        <w:t>6</w:t>
      </w:r>
      <w:r w:rsidRPr="00EA175D">
        <w:t>,</w:t>
      </w:r>
      <w:r w:rsidR="000C0472" w:rsidRPr="00EA175D">
        <w:t>55</w:t>
      </w:r>
      <w:r w:rsidRPr="00EA175D">
        <w:t>%  и 7</w:t>
      </w:r>
      <w:r w:rsidR="000C0472" w:rsidRPr="00EA175D">
        <w:t>7</w:t>
      </w:r>
      <w:r w:rsidRPr="00EA175D">
        <w:t>,5</w:t>
      </w:r>
      <w:r w:rsidR="000C0472" w:rsidRPr="00EA175D">
        <w:t>0</w:t>
      </w:r>
      <w:r w:rsidRPr="00EA175D">
        <w:t xml:space="preserve">%. От показаните данни може да се направи извод, че </w:t>
      </w:r>
      <w:r w:rsidR="000C0472" w:rsidRPr="00EA175D">
        <w:t xml:space="preserve">и при втория прием </w:t>
      </w:r>
      <w:r w:rsidRPr="00EA175D">
        <w:t xml:space="preserve">сравнително висок дял от подалите заявления за подпомагане по подмярка 19.1 кандидати са били одобрени за финансиране. </w:t>
      </w:r>
      <w:r w:rsidR="000C0472" w:rsidRPr="00EA175D">
        <w:t>И тук</w:t>
      </w:r>
      <w:r w:rsidRPr="00EA175D">
        <w:t xml:space="preserve"> високо</w:t>
      </w:r>
      <w:r w:rsidR="000C0472" w:rsidRPr="00EA175D">
        <w:t>то</w:t>
      </w:r>
      <w:r w:rsidRPr="00EA175D">
        <w:t xml:space="preserve"> ниво на одобрение показва, че подадените заявления са били с качество, отговарящо на изискванията на приема.</w:t>
      </w:r>
      <w:r w:rsidR="000C0472" w:rsidRPr="00EA175D">
        <w:t xml:space="preserve"> </w:t>
      </w:r>
      <w:r w:rsidR="00487BD9" w:rsidRPr="00EA175D">
        <w:t xml:space="preserve">В </w:t>
      </w:r>
      <w:r w:rsidRPr="00EA175D">
        <w:t xml:space="preserve">допълнение </w:t>
      </w:r>
      <w:r w:rsidR="00487BD9" w:rsidRPr="00EA175D">
        <w:t>към одобрените по първия прием общини по втория са одобрени още една четвърт</w:t>
      </w:r>
      <w:r w:rsidRPr="00EA175D">
        <w:t xml:space="preserve"> от общините в селските райони</w:t>
      </w:r>
      <w:r w:rsidR="00487BD9" w:rsidRPr="00EA175D">
        <w:t xml:space="preserve"> (а са кандидатствали </w:t>
      </w:r>
      <w:r w:rsidR="00487BD9" w:rsidRPr="00F77584">
        <w:rPr>
          <w:lang w:val="ru-RU"/>
        </w:rPr>
        <w:t>1/3</w:t>
      </w:r>
      <w:r w:rsidR="00487BD9" w:rsidRPr="00EA175D">
        <w:t xml:space="preserve"> от тях)</w:t>
      </w:r>
      <w:r w:rsidRPr="00EA175D">
        <w:t xml:space="preserve">. Въз основа на </w:t>
      </w:r>
      <w:r w:rsidRPr="00EA175D">
        <w:lastRenderedPageBreak/>
        <w:t>тези данни може да се говори за изразен висок интерес към изго</w:t>
      </w:r>
      <w:r w:rsidR="00CA5DB2">
        <w:t>т</w:t>
      </w:r>
      <w:r w:rsidRPr="00EA175D">
        <w:t xml:space="preserve">вянето на стратегии за ВОМР, регистриран </w:t>
      </w:r>
      <w:r w:rsidR="00487BD9" w:rsidRPr="00EA175D">
        <w:t xml:space="preserve">и </w:t>
      </w:r>
      <w:r w:rsidRPr="00EA175D">
        <w:t xml:space="preserve">при </w:t>
      </w:r>
      <w:r w:rsidR="00487BD9" w:rsidRPr="00EA175D">
        <w:t>втория</w:t>
      </w:r>
      <w:r w:rsidRPr="00EA175D">
        <w:t xml:space="preserve"> прием на заявления по подмярка 19.1.</w:t>
      </w:r>
    </w:p>
    <w:p w14:paraId="34FC6630" w14:textId="77777777" w:rsidR="005974B5" w:rsidRPr="00EA175D" w:rsidRDefault="005974B5" w:rsidP="00EA175D">
      <w:pPr>
        <w:spacing w:line="360" w:lineRule="auto"/>
        <w:ind w:firstLine="567"/>
        <w:jc w:val="both"/>
        <w:rPr>
          <w:highlight w:val="yellow"/>
        </w:rPr>
      </w:pPr>
    </w:p>
    <w:p w14:paraId="51E90A71" w14:textId="77777777" w:rsidR="005974B5" w:rsidRPr="00EA175D" w:rsidRDefault="005974B5" w:rsidP="00EA175D">
      <w:pPr>
        <w:spacing w:line="360" w:lineRule="auto"/>
        <w:ind w:firstLine="567"/>
        <w:jc w:val="both"/>
        <w:rPr>
          <w:b/>
        </w:rPr>
      </w:pPr>
      <w:r w:rsidRPr="00EA175D">
        <w:rPr>
          <w:b/>
        </w:rPr>
        <w:t xml:space="preserve">Заключение </w:t>
      </w:r>
    </w:p>
    <w:p w14:paraId="74426412" w14:textId="77777777" w:rsidR="00B915BC" w:rsidRPr="00EA175D" w:rsidRDefault="00EE7EE2" w:rsidP="00EA175D">
      <w:pPr>
        <w:spacing w:line="360" w:lineRule="auto"/>
        <w:ind w:firstLine="567"/>
        <w:jc w:val="both"/>
      </w:pPr>
      <w:r w:rsidRPr="00EA175D">
        <w:t>В резултат от изпълнението на подмярка</w:t>
      </w:r>
      <w:r w:rsidR="008E44C0" w:rsidRPr="00EA175D">
        <w:t xml:space="preserve"> 19.1 „Помощ за подготвителни дейности“</w:t>
      </w:r>
      <w:r w:rsidRPr="00EA175D">
        <w:t xml:space="preserve"> са изпълнени </w:t>
      </w:r>
      <w:r w:rsidR="008E44C0" w:rsidRPr="00EA175D">
        <w:t xml:space="preserve">общо </w:t>
      </w:r>
      <w:r w:rsidRPr="00EA175D">
        <w:t>10</w:t>
      </w:r>
      <w:r w:rsidR="005C4AF6" w:rsidRPr="00F77584">
        <w:rPr>
          <w:lang w:val="ru-RU"/>
        </w:rPr>
        <w:t>1</w:t>
      </w:r>
      <w:r w:rsidRPr="00EA175D">
        <w:t xml:space="preserve"> проекта на територията на 180 общини с население от 2</w:t>
      </w:r>
      <w:r w:rsidR="005C4AF6" w:rsidRPr="00F77584">
        <w:rPr>
          <w:lang w:val="ru-RU"/>
        </w:rPr>
        <w:t xml:space="preserve"> </w:t>
      </w:r>
      <w:r w:rsidRPr="00EA175D">
        <w:t>3</w:t>
      </w:r>
      <w:r w:rsidR="005C4AF6" w:rsidRPr="00F77584">
        <w:rPr>
          <w:lang w:val="ru-RU"/>
        </w:rPr>
        <w:t>09 619</w:t>
      </w:r>
      <w:r w:rsidRPr="00EA175D">
        <w:t xml:space="preserve"> жители и територия от 74 433 кв. км</w:t>
      </w:r>
      <w:r w:rsidR="008E44C0" w:rsidRPr="00EA175D">
        <w:t>.</w:t>
      </w:r>
      <w:r w:rsidRPr="00EA175D">
        <w:t xml:space="preserve">, което представлява 78% от </w:t>
      </w:r>
      <w:r w:rsidR="005974B5" w:rsidRPr="00EA175D">
        <w:t>общия брой на общините в</w:t>
      </w:r>
      <w:r w:rsidRPr="00EA175D">
        <w:t xml:space="preserve"> селските райони на страната. Чрез изпълнените дейности от бенефициентите са </w:t>
      </w:r>
      <w:r w:rsidR="005974B5" w:rsidRPr="00EA175D">
        <w:t xml:space="preserve">изготвени техните стратегии за ВОМР, като в процеса са </w:t>
      </w:r>
      <w:r w:rsidRPr="00EA175D">
        <w:t>организирани и проведени около 1200 публични събития (</w:t>
      </w:r>
      <w:r w:rsidR="005974B5" w:rsidRPr="00EA175D">
        <w:t xml:space="preserve">обществени обсъждания, информационни </w:t>
      </w:r>
      <w:r w:rsidRPr="00EA175D">
        <w:t xml:space="preserve">конференции, семинари, срещи, обучения и др.). </w:t>
      </w:r>
    </w:p>
    <w:p w14:paraId="3205EA45" w14:textId="77777777" w:rsidR="008E44C0" w:rsidRPr="00EA175D" w:rsidRDefault="00DD07FC" w:rsidP="00EA175D">
      <w:pPr>
        <w:spacing w:line="360" w:lineRule="auto"/>
        <w:ind w:firstLine="567"/>
        <w:jc w:val="both"/>
      </w:pPr>
      <w:r w:rsidRPr="00EA175D">
        <w:t>Общо по подмярката са сключени 100 договора на обща стойност 5 077 785,75 лв. (2 596 270,45 евро), като в</w:t>
      </w:r>
      <w:r w:rsidR="008E44C0" w:rsidRPr="00EA175D">
        <w:t>ъзстановените от ДФЗ средства са в размер на  3 886 068,72 лв.</w:t>
      </w:r>
      <w:r w:rsidRPr="00EA175D">
        <w:t xml:space="preserve"> или </w:t>
      </w:r>
      <w:r w:rsidR="00337600" w:rsidRPr="00EA175D">
        <w:t xml:space="preserve">усвояемостта </w:t>
      </w:r>
      <w:r w:rsidR="00615AF5" w:rsidRPr="00EA175D">
        <w:t xml:space="preserve">на средствата </w:t>
      </w:r>
      <w:r w:rsidR="00337600" w:rsidRPr="00EA175D">
        <w:t xml:space="preserve">е в размер на </w:t>
      </w:r>
      <w:r w:rsidRPr="00F77584">
        <w:rPr>
          <w:lang w:val="ru-RU"/>
        </w:rPr>
        <w:t>76</w:t>
      </w:r>
      <w:r w:rsidRPr="00EA175D">
        <w:t>,53%.</w:t>
      </w:r>
    </w:p>
    <w:p w14:paraId="27F929EA" w14:textId="77777777" w:rsidR="00615AF5" w:rsidRPr="00EA175D" w:rsidRDefault="00615AF5" w:rsidP="00EA175D">
      <w:pPr>
        <w:spacing w:line="360" w:lineRule="auto"/>
        <w:ind w:firstLine="567"/>
        <w:jc w:val="both"/>
      </w:pPr>
      <w:r w:rsidRPr="00EA175D">
        <w:t xml:space="preserve">Може да се обобщи, че изпълнението на подмярка 19.1 „Помощ за подготвителни дейности“ се характеризира с голям интерес от страна на почти всички допустими общини от територията на страната и висок дял на одобрение на кандидатите. </w:t>
      </w:r>
    </w:p>
    <w:p w14:paraId="1CC9CF7A" w14:textId="77777777" w:rsidR="00DF5BF7" w:rsidRPr="00EA175D" w:rsidRDefault="00DF5BF7" w:rsidP="00EA175D">
      <w:pPr>
        <w:spacing w:line="360" w:lineRule="auto"/>
        <w:ind w:firstLine="567"/>
        <w:jc w:val="both"/>
      </w:pPr>
    </w:p>
    <w:p w14:paraId="05292A28" w14:textId="77777777" w:rsidR="00615AF5" w:rsidRPr="00EA175D" w:rsidRDefault="00615AF5" w:rsidP="00EA175D">
      <w:pPr>
        <w:spacing w:line="360" w:lineRule="auto"/>
        <w:ind w:firstLine="567"/>
        <w:jc w:val="both"/>
      </w:pPr>
      <w:r w:rsidRPr="00EA175D">
        <w:t>Графика. Карта на изпълнилите подмярка 19.1 „Помощ за подготвителни дейности“ общини.</w:t>
      </w:r>
    </w:p>
    <w:p w14:paraId="1742E1CD" w14:textId="77777777" w:rsidR="00B915BC" w:rsidRPr="00EA175D" w:rsidRDefault="002F03A7" w:rsidP="00EA175D">
      <w:pPr>
        <w:spacing w:line="360" w:lineRule="auto"/>
        <w:jc w:val="both"/>
      </w:pPr>
      <w:r w:rsidRPr="00EA175D">
        <w:rPr>
          <w:lang w:val="it-IT" w:eastAsia="it-IT"/>
        </w:rPr>
        <w:lastRenderedPageBreak/>
        <w:drawing>
          <wp:inline distT="0" distB="0" distL="0" distR="0" wp14:anchorId="191CCF33" wp14:editId="01459B1E">
            <wp:extent cx="5850255" cy="4139783"/>
            <wp:effectExtent l="19050" t="19050" r="17145" b="13335"/>
            <wp:docPr id="8" name="Picture 8" descr="D:\LEADER\2014-2020\Implementation CLLD\Приеми\19.1 map 1+2 c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LEADER\2014-2020\Implementation CLLD\Приеми\19.1 map 1+2 call.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50255" cy="4139783"/>
                    </a:xfrm>
                    <a:prstGeom prst="rect">
                      <a:avLst/>
                    </a:prstGeom>
                    <a:noFill/>
                    <a:ln>
                      <a:solidFill>
                        <a:schemeClr val="tx1"/>
                      </a:solidFill>
                    </a:ln>
                  </pic:spPr>
                </pic:pic>
              </a:graphicData>
            </a:graphic>
          </wp:inline>
        </w:drawing>
      </w:r>
    </w:p>
    <w:p w14:paraId="7BDD41D2" w14:textId="77777777" w:rsidR="00B915BC" w:rsidRPr="00EA175D" w:rsidRDefault="00B915BC" w:rsidP="00EA175D">
      <w:pPr>
        <w:spacing w:line="360" w:lineRule="auto"/>
        <w:jc w:val="both"/>
      </w:pPr>
    </w:p>
    <w:p w14:paraId="72331903" w14:textId="77777777" w:rsidR="00EE7EE2" w:rsidRPr="00EA175D" w:rsidRDefault="003500F5" w:rsidP="00EA175D">
      <w:pPr>
        <w:spacing w:line="360" w:lineRule="auto"/>
        <w:ind w:firstLine="567"/>
        <w:jc w:val="both"/>
      </w:pPr>
      <w:r w:rsidRPr="00EA175D">
        <w:t>Съгласно Програмата за развитие на селските райони 2014 – 2020 г. п</w:t>
      </w:r>
      <w:r w:rsidR="00EE7EE2" w:rsidRPr="00EA175D">
        <w:t xml:space="preserve">одпомярка 19.1 „Помощ за подготвителни дейности“ </w:t>
      </w:r>
      <w:r w:rsidRPr="00EA175D">
        <w:t xml:space="preserve">включва и </w:t>
      </w:r>
      <w:r w:rsidR="00EE7EE2" w:rsidRPr="00EA175D">
        <w:t xml:space="preserve">прилагане на </w:t>
      </w:r>
      <w:r w:rsidRPr="00EA175D">
        <w:t xml:space="preserve">т.нар. </w:t>
      </w:r>
      <w:r w:rsidR="00EE7EE2" w:rsidRPr="00EA175D">
        <w:t>„</w:t>
      </w:r>
      <w:r w:rsidRPr="00EA175D">
        <w:t>малки пилотни проекти“. Те са насочени за подкрепа на местни инициативни групи, чиито стратегии са били подадени за одобрение по подмярка 19.2 „Прилагане на операции в рамките на стратегии за Водено от общностите местно развитие”</w:t>
      </w:r>
      <w:r w:rsidR="0026512D" w:rsidRPr="00EA175D">
        <w:t>, но за които не е достигнало финансиране. Основните дейности, които се финансират през малките пилотни проекти са:</w:t>
      </w:r>
    </w:p>
    <w:p w14:paraId="2D536E85" w14:textId="77777777" w:rsidR="0026512D" w:rsidRPr="00EA175D" w:rsidRDefault="0026512D" w:rsidP="00EA175D">
      <w:pPr>
        <w:spacing w:line="360" w:lineRule="auto"/>
        <w:ind w:firstLine="567"/>
        <w:jc w:val="both"/>
      </w:pPr>
      <w:r w:rsidRPr="00EA175D">
        <w:t>1. Дейности и събития, свързани с популяризиране на местната идентичност;</w:t>
      </w:r>
    </w:p>
    <w:p w14:paraId="74C3A37A" w14:textId="77777777" w:rsidR="0026512D" w:rsidRPr="00EA175D" w:rsidRDefault="0026512D" w:rsidP="00EA175D">
      <w:pPr>
        <w:spacing w:line="360" w:lineRule="auto"/>
        <w:ind w:firstLine="567"/>
        <w:jc w:val="both"/>
      </w:pPr>
      <w:r w:rsidRPr="00EA175D">
        <w:t>2. Придобиване на материални и нематериални активи в интерес на местната общност;</w:t>
      </w:r>
    </w:p>
    <w:p w14:paraId="1063843F" w14:textId="77777777" w:rsidR="0026512D" w:rsidRPr="00EA175D" w:rsidRDefault="0026512D" w:rsidP="00EA175D">
      <w:pPr>
        <w:spacing w:line="360" w:lineRule="auto"/>
        <w:ind w:firstLine="567"/>
        <w:jc w:val="both"/>
      </w:pPr>
      <w:r w:rsidRPr="00EA175D">
        <w:t>3. Въвеждане на иновативни за местната общност практики.</w:t>
      </w:r>
    </w:p>
    <w:p w14:paraId="54D5215A" w14:textId="77777777" w:rsidR="0026512D" w:rsidRPr="00EA175D" w:rsidRDefault="00D91D0F" w:rsidP="00EA175D">
      <w:pPr>
        <w:tabs>
          <w:tab w:val="left" w:pos="2145"/>
        </w:tabs>
        <w:spacing w:line="360" w:lineRule="auto"/>
        <w:ind w:firstLine="567"/>
        <w:jc w:val="both"/>
      </w:pPr>
      <w:r w:rsidRPr="00EA175D">
        <w:tab/>
      </w:r>
    </w:p>
    <w:p w14:paraId="0F6D69F1" w14:textId="77777777" w:rsidR="0026512D" w:rsidRPr="00EA175D" w:rsidRDefault="0026512D" w:rsidP="00EA175D">
      <w:pPr>
        <w:spacing w:line="360" w:lineRule="auto"/>
        <w:ind w:firstLine="567"/>
        <w:jc w:val="both"/>
        <w:rPr>
          <w:b/>
          <w:u w:val="single"/>
        </w:rPr>
      </w:pPr>
      <w:r w:rsidRPr="00EA175D">
        <w:rPr>
          <w:b/>
          <w:u w:val="single"/>
        </w:rPr>
        <w:lastRenderedPageBreak/>
        <w:t>Първи прием</w:t>
      </w:r>
    </w:p>
    <w:p w14:paraId="7385F9C5" w14:textId="77777777" w:rsidR="00D91D0F" w:rsidRPr="00EA175D" w:rsidRDefault="0026512D" w:rsidP="00EA175D">
      <w:pPr>
        <w:spacing w:line="360" w:lineRule="auto"/>
        <w:ind w:firstLine="567"/>
        <w:jc w:val="both"/>
      </w:pPr>
      <w:r w:rsidRPr="00EA175D">
        <w:t xml:space="preserve">Управляващият орган на ПРСР 2014 – 2020 г. е обявил първи прием на пилотни проекти </w:t>
      </w:r>
      <w:r w:rsidR="00142DC1" w:rsidRPr="00EA175D">
        <w:t xml:space="preserve">в периода </w:t>
      </w:r>
      <w:r w:rsidR="00EE7EE2" w:rsidRPr="00EA175D">
        <w:t xml:space="preserve">1 юни </w:t>
      </w:r>
      <w:r w:rsidR="009557A3" w:rsidRPr="00EA175D">
        <w:t>–</w:t>
      </w:r>
      <w:r w:rsidR="00142DC1" w:rsidRPr="00EA175D">
        <w:t xml:space="preserve"> </w:t>
      </w:r>
      <w:r w:rsidR="009557A3" w:rsidRPr="00EA175D">
        <w:t>31 юли 2020 г. чрез процедура № BG06RDNP001-19.372 с бюджет до левовата равностойност на 647 544 евро (шестстотин четиридесет и седем хиляди петстотин четиридесет и четири евро) или 1 266 466,56 лева (един милион двеста шестдесет и шест хиляди четиристотин шестдесет и шест лева и петдесет и шест стотинки)</w:t>
      </w:r>
      <w:r w:rsidR="00EE7EE2" w:rsidRPr="00EA175D">
        <w:t>.</w:t>
      </w:r>
      <w:r w:rsidRPr="00EA175D">
        <w:t xml:space="preserve"> </w:t>
      </w:r>
      <w:r w:rsidR="00EE7EE2" w:rsidRPr="00EA175D">
        <w:t xml:space="preserve">Минималната стойност на допустимите разходи е не по-малко от левовата равностойност на 5 000 евро, а максималната – не повече от левовата равностойност на 15 000 евро за един проект с интензиет на подпомагане до 100 на сто от допустимите разходи. </w:t>
      </w:r>
    </w:p>
    <w:p w14:paraId="75CBF5BF" w14:textId="02A92A2B" w:rsidR="00D91D0F" w:rsidRPr="00EA175D" w:rsidRDefault="00D91D0F" w:rsidP="00EA175D">
      <w:pPr>
        <w:spacing w:line="360" w:lineRule="auto"/>
        <w:ind w:firstLine="567"/>
        <w:jc w:val="both"/>
      </w:pPr>
      <w:r w:rsidRPr="00EA175D">
        <w:t xml:space="preserve">По процедурата са подадени седем проектни предложения </w:t>
      </w:r>
      <w:r w:rsidR="00700088" w:rsidRPr="00EA175D">
        <w:t>(</w:t>
      </w:r>
      <w:r w:rsidR="00700088" w:rsidRPr="00EA175D">
        <w:rPr>
          <w:b/>
          <w:bCs/>
        </w:rPr>
        <w:t>Приложение №</w:t>
      </w:r>
      <w:r w:rsidR="00C77FAF" w:rsidRPr="00EA175D">
        <w:rPr>
          <w:b/>
          <w:bCs/>
        </w:rPr>
        <w:t>9</w:t>
      </w:r>
      <w:r w:rsidR="00C77FAF" w:rsidRPr="00EA175D">
        <w:t>)</w:t>
      </w:r>
      <w:r w:rsidR="00700088" w:rsidRPr="00EA175D">
        <w:t xml:space="preserve"> към настоящата оценка) </w:t>
      </w:r>
      <w:r w:rsidRPr="00EA175D">
        <w:t xml:space="preserve">с обща стойност на заявената безвъзмездна </w:t>
      </w:r>
      <w:r w:rsidR="004064CD" w:rsidRPr="00EA175D">
        <w:t>финансова помощ 198 881,99 лева, които са подадени от следните МИГ:</w:t>
      </w:r>
    </w:p>
    <w:p w14:paraId="2C9F91E8" w14:textId="1C005B0C" w:rsidR="004064CD" w:rsidRPr="00EA175D" w:rsidRDefault="004064CD" w:rsidP="00EA175D">
      <w:pPr>
        <w:pStyle w:val="ab"/>
        <w:numPr>
          <w:ilvl w:val="0"/>
          <w:numId w:val="9"/>
        </w:numPr>
        <w:tabs>
          <w:tab w:val="left" w:pos="709"/>
          <w:tab w:val="left" w:pos="851"/>
        </w:tabs>
        <w:spacing w:line="360" w:lineRule="auto"/>
        <w:ind w:left="0" w:firstLine="567"/>
        <w:jc w:val="both"/>
      </w:pPr>
      <w:r w:rsidRPr="00EA175D">
        <w:t>Сдружение „Местна инициативна група Община Стамболийски“ – 2 проектни предложения</w:t>
      </w:r>
      <w:r w:rsidR="00CA5DB2">
        <w:t>;</w:t>
      </w:r>
    </w:p>
    <w:p w14:paraId="00AD2BF4" w14:textId="4DE336AE" w:rsidR="004064CD" w:rsidRPr="00EA175D" w:rsidRDefault="004064CD" w:rsidP="00EA175D">
      <w:pPr>
        <w:pStyle w:val="ab"/>
        <w:numPr>
          <w:ilvl w:val="0"/>
          <w:numId w:val="9"/>
        </w:numPr>
        <w:tabs>
          <w:tab w:val="left" w:pos="709"/>
          <w:tab w:val="left" w:pos="851"/>
        </w:tabs>
        <w:spacing w:line="360" w:lineRule="auto"/>
        <w:jc w:val="both"/>
      </w:pPr>
      <w:r w:rsidRPr="00EA175D">
        <w:t>Сдружение „Местна инициативна група – Кнежа“ – 2 проектни предложения</w:t>
      </w:r>
      <w:r w:rsidR="00CA5DB2">
        <w:t>;</w:t>
      </w:r>
    </w:p>
    <w:p w14:paraId="0E7BEBBD" w14:textId="6662DA58" w:rsidR="004064CD" w:rsidRPr="00EA175D" w:rsidRDefault="00700088" w:rsidP="00EA175D">
      <w:pPr>
        <w:pStyle w:val="ab"/>
        <w:numPr>
          <w:ilvl w:val="0"/>
          <w:numId w:val="9"/>
        </w:numPr>
        <w:tabs>
          <w:tab w:val="left" w:pos="709"/>
          <w:tab w:val="left" w:pos="851"/>
        </w:tabs>
        <w:spacing w:line="360" w:lineRule="auto"/>
        <w:jc w:val="both"/>
      </w:pPr>
      <w:r w:rsidRPr="00EA175D">
        <w:t>Сдружение „Местна инициативна група Невестино – Кюстендил“</w:t>
      </w:r>
      <w:r w:rsidR="00CA5DB2">
        <w:t>;</w:t>
      </w:r>
    </w:p>
    <w:p w14:paraId="430F58B3" w14:textId="07D077E8" w:rsidR="00700088" w:rsidRPr="00EA175D" w:rsidRDefault="00700088" w:rsidP="00EA175D">
      <w:pPr>
        <w:pStyle w:val="ab"/>
        <w:numPr>
          <w:ilvl w:val="0"/>
          <w:numId w:val="9"/>
        </w:numPr>
        <w:tabs>
          <w:tab w:val="left" w:pos="709"/>
          <w:tab w:val="left" w:pos="851"/>
        </w:tabs>
        <w:spacing w:line="360" w:lineRule="auto"/>
        <w:jc w:val="both"/>
      </w:pPr>
      <w:r w:rsidRPr="00EA175D">
        <w:t>Сдружение „Местна инициативна група Ботевград“</w:t>
      </w:r>
      <w:r w:rsidR="00CA5DB2">
        <w:t>;</w:t>
      </w:r>
    </w:p>
    <w:p w14:paraId="3ECAA25B" w14:textId="77777777" w:rsidR="00700088" w:rsidRPr="00EA175D" w:rsidRDefault="00700088" w:rsidP="00EA175D">
      <w:pPr>
        <w:pStyle w:val="ab"/>
        <w:numPr>
          <w:ilvl w:val="0"/>
          <w:numId w:val="9"/>
        </w:numPr>
        <w:tabs>
          <w:tab w:val="left" w:pos="709"/>
          <w:tab w:val="left" w:pos="851"/>
        </w:tabs>
        <w:spacing w:line="360" w:lineRule="auto"/>
        <w:jc w:val="both"/>
      </w:pPr>
      <w:r w:rsidRPr="00EA175D">
        <w:t>Сдружение „Местна инициативна група  Дългопол – Смядово“.</w:t>
      </w:r>
    </w:p>
    <w:p w14:paraId="7EC35E9D" w14:textId="77777777" w:rsidR="004064CD" w:rsidRPr="00EA175D" w:rsidRDefault="004064CD" w:rsidP="00EA175D">
      <w:pPr>
        <w:spacing w:line="360" w:lineRule="auto"/>
        <w:ind w:firstLine="567"/>
        <w:jc w:val="both"/>
      </w:pPr>
    </w:p>
    <w:p w14:paraId="281199E8" w14:textId="77777777" w:rsidR="00D91D0F" w:rsidRPr="00EA175D" w:rsidRDefault="00D91D0F" w:rsidP="00EA175D">
      <w:pPr>
        <w:spacing w:line="360" w:lineRule="auto"/>
        <w:ind w:firstLine="567"/>
        <w:jc w:val="both"/>
      </w:pPr>
      <w:r w:rsidRPr="00EA175D">
        <w:t xml:space="preserve">Комисията за оценка и класиране на проектни предложения по процедура № BG06RDNP001-19.372 е одобрила общо шест проекта, с които УО на ПРСР е сключил договори с общ размер на безвъзмезмездна финансова помощ от 164 568,09 лева. </w:t>
      </w:r>
    </w:p>
    <w:p w14:paraId="2E81DB5F" w14:textId="68E0FC8E" w:rsidR="00142DC1" w:rsidRPr="00EA175D" w:rsidRDefault="00D91D0F" w:rsidP="00EA175D">
      <w:pPr>
        <w:spacing w:line="360" w:lineRule="auto"/>
        <w:ind w:firstLine="567"/>
        <w:jc w:val="both"/>
      </w:pPr>
      <w:r w:rsidRPr="00EA175D">
        <w:t>Проектното предложение</w:t>
      </w:r>
      <w:r w:rsidR="00700088" w:rsidRPr="00EA175D">
        <w:t xml:space="preserve"> „Дигитален МИГ Дългопол – Смядово“</w:t>
      </w:r>
      <w:r w:rsidRPr="00EA175D">
        <w:t xml:space="preserve"> е о</w:t>
      </w:r>
      <w:r w:rsidR="00CA5DB2">
        <w:t>т</w:t>
      </w:r>
      <w:r w:rsidRPr="00EA175D">
        <w:t>хвърлено</w:t>
      </w:r>
      <w:r w:rsidR="00700088" w:rsidRPr="00EA175D">
        <w:t xml:space="preserve"> в процеса на оценка</w:t>
      </w:r>
      <w:r w:rsidRPr="00EA175D">
        <w:t xml:space="preserve">. </w:t>
      </w:r>
    </w:p>
    <w:p w14:paraId="46C98B80" w14:textId="77777777" w:rsidR="00142DC1" w:rsidRPr="00EA175D" w:rsidRDefault="00142DC1" w:rsidP="00EA175D">
      <w:pPr>
        <w:spacing w:line="360" w:lineRule="auto"/>
        <w:ind w:firstLine="567"/>
        <w:jc w:val="both"/>
        <w:rPr>
          <w:b/>
          <w:u w:val="single"/>
        </w:rPr>
      </w:pPr>
      <w:r w:rsidRPr="00EA175D">
        <w:rPr>
          <w:b/>
          <w:u w:val="single"/>
        </w:rPr>
        <w:t>Втори прием</w:t>
      </w:r>
    </w:p>
    <w:p w14:paraId="3CF98BFC" w14:textId="77777777" w:rsidR="00041BCD" w:rsidRPr="00EA175D" w:rsidRDefault="00041BCD" w:rsidP="00EA175D">
      <w:pPr>
        <w:spacing w:line="360" w:lineRule="auto"/>
        <w:ind w:firstLine="567"/>
        <w:jc w:val="both"/>
      </w:pPr>
      <w:r w:rsidRPr="00EA175D">
        <w:t xml:space="preserve">УО на ПРСР 2014 – 2020 г. е обявил втора процедура чрез подбор на проектни предложения № BG06RDNP001-19.476 по подмярка 19.1 „Помощ за подготвителни дейности“ в частта на малките пилотни с период на прием от 2 ноември 2020 г. до 2 </w:t>
      </w:r>
      <w:r w:rsidRPr="00EA175D">
        <w:lastRenderedPageBreak/>
        <w:t>април 2021 г. В периода на прием са постъпили 24 проектни предложения с размер на заявената субсидия 4 225 494,68 лева, които се оценяват от комисия назначена от ръководителя на УО на ПРСР 2014 – 2020 г. Във връзка с единадесето изменение на Програмата за развитие на селските райони 2014-2020 г. бюджетът по подмярка 19.1 (Общи публични разходи (в евро) за подготвителна помощ (19.1) е увеличен на 8 023 392,00 евро и е одобрено увеличение на бюджета по процедура № BG06RDNP001-19.476 до размера на заявената безвъзмездна финансова помощ. Също така за</w:t>
      </w:r>
      <w:r w:rsidR="008E15A7" w:rsidRPr="00EA175D">
        <w:t xml:space="preserve"> </w:t>
      </w:r>
      <w:r w:rsidRPr="00EA175D">
        <w:t xml:space="preserve">този прием максималният размер на проектите е променен от 15 000 евро за първия прием на 100 000 евро. </w:t>
      </w:r>
    </w:p>
    <w:p w14:paraId="4C7C1E42" w14:textId="233C0ECA" w:rsidR="0006486D" w:rsidRPr="00EA175D" w:rsidRDefault="0006486D" w:rsidP="00EA175D">
      <w:pPr>
        <w:spacing w:line="360" w:lineRule="auto"/>
        <w:ind w:firstLine="567"/>
        <w:jc w:val="both"/>
      </w:pPr>
      <w:r w:rsidRPr="00EA175D">
        <w:t>По втория прием в УО на ПРСР 2014 – 2020 г. са получени проектни предложения от следните кандидати</w:t>
      </w:r>
      <w:r w:rsidR="00E753B8" w:rsidRPr="00EA175D">
        <w:t xml:space="preserve"> (подробна информация е представена в </w:t>
      </w:r>
      <w:r w:rsidR="00E753B8" w:rsidRPr="00EA175D">
        <w:rPr>
          <w:b/>
          <w:bCs/>
        </w:rPr>
        <w:t>Приложение №</w:t>
      </w:r>
      <w:r w:rsidR="00377CF9" w:rsidRPr="00EA175D">
        <w:rPr>
          <w:b/>
          <w:bCs/>
        </w:rPr>
        <w:t xml:space="preserve"> 1</w:t>
      </w:r>
      <w:r w:rsidR="000F123B" w:rsidRPr="00EA175D">
        <w:rPr>
          <w:b/>
          <w:bCs/>
        </w:rPr>
        <w:t>0</w:t>
      </w:r>
      <w:r w:rsidR="00E753B8" w:rsidRPr="00EA175D">
        <w:t xml:space="preserve"> от настоящата оценка)</w:t>
      </w:r>
      <w:r w:rsidRPr="00EA175D">
        <w:t>:</w:t>
      </w:r>
    </w:p>
    <w:p w14:paraId="50A1B067" w14:textId="18240880" w:rsidR="00477BFE" w:rsidRPr="00EA175D" w:rsidRDefault="00EC46B7" w:rsidP="00EA175D">
      <w:pPr>
        <w:pStyle w:val="ab"/>
        <w:numPr>
          <w:ilvl w:val="0"/>
          <w:numId w:val="8"/>
        </w:numPr>
        <w:spacing w:line="360" w:lineRule="auto"/>
        <w:jc w:val="both"/>
      </w:pPr>
      <w:r w:rsidRPr="00EA175D">
        <w:t>Сдружение „</w:t>
      </w:r>
      <w:r w:rsidR="00477BFE" w:rsidRPr="00EA175D">
        <w:t>Местна инициативна група Община Стамболийски“</w:t>
      </w:r>
      <w:r w:rsidR="00CA5DB2">
        <w:t>;</w:t>
      </w:r>
    </w:p>
    <w:p w14:paraId="65F944DE" w14:textId="1356DABF" w:rsidR="00477BFE" w:rsidRPr="00EA175D" w:rsidRDefault="00EC46B7" w:rsidP="00EA175D">
      <w:pPr>
        <w:pStyle w:val="ab"/>
        <w:numPr>
          <w:ilvl w:val="0"/>
          <w:numId w:val="8"/>
        </w:numPr>
        <w:spacing w:line="360" w:lineRule="auto"/>
        <w:jc w:val="both"/>
      </w:pPr>
      <w:r w:rsidRPr="00EA175D">
        <w:t>Сдружение „</w:t>
      </w:r>
      <w:r w:rsidR="00D47FE1" w:rsidRPr="00EA175D">
        <w:t>Местна инициативна група Дългопол – Смядово“</w:t>
      </w:r>
      <w:r w:rsidR="00CA5DB2">
        <w:t>;</w:t>
      </w:r>
    </w:p>
    <w:p w14:paraId="26D3F69B" w14:textId="77AE8016" w:rsidR="00D47FE1" w:rsidRPr="00EA175D" w:rsidRDefault="00EC46B7" w:rsidP="00EA175D">
      <w:pPr>
        <w:pStyle w:val="ab"/>
        <w:numPr>
          <w:ilvl w:val="0"/>
          <w:numId w:val="8"/>
        </w:numPr>
        <w:spacing w:line="360" w:lineRule="auto"/>
        <w:jc w:val="both"/>
      </w:pPr>
      <w:r w:rsidRPr="00EA175D">
        <w:t>Сдружение „</w:t>
      </w:r>
      <w:r w:rsidR="00D47FE1" w:rsidRPr="00EA175D">
        <w:t>Местна инициативна група Камено – Бургас“</w:t>
      </w:r>
      <w:r w:rsidR="00CA5DB2">
        <w:t>;</w:t>
      </w:r>
    </w:p>
    <w:p w14:paraId="2CA858C0" w14:textId="61C96929" w:rsidR="00D47FE1" w:rsidRPr="00EA175D" w:rsidRDefault="00EC46B7" w:rsidP="00EA175D">
      <w:pPr>
        <w:pStyle w:val="ab"/>
        <w:numPr>
          <w:ilvl w:val="0"/>
          <w:numId w:val="8"/>
        </w:numPr>
        <w:spacing w:line="360" w:lineRule="auto"/>
        <w:jc w:val="both"/>
      </w:pPr>
      <w:r w:rsidRPr="00EA175D">
        <w:t>Сдружение „М</w:t>
      </w:r>
      <w:r w:rsidR="00D47FE1" w:rsidRPr="00EA175D">
        <w:t>естна инициативна група Невестино – Кюстендил“</w:t>
      </w:r>
      <w:r w:rsidR="00CA5DB2">
        <w:t>;</w:t>
      </w:r>
    </w:p>
    <w:p w14:paraId="51617951" w14:textId="6B0EB978" w:rsidR="00D47FE1" w:rsidRPr="00EA175D" w:rsidRDefault="00EC46B7" w:rsidP="00EA175D">
      <w:pPr>
        <w:pStyle w:val="ab"/>
        <w:numPr>
          <w:ilvl w:val="0"/>
          <w:numId w:val="8"/>
        </w:numPr>
        <w:spacing w:line="360" w:lineRule="auto"/>
        <w:jc w:val="both"/>
      </w:pPr>
      <w:r w:rsidRPr="00EA175D">
        <w:t xml:space="preserve">Сдружение „Местна инициативна група </w:t>
      </w:r>
      <w:r w:rsidR="00671874" w:rsidRPr="00EA175D">
        <w:t>Петрич“</w:t>
      </w:r>
      <w:r w:rsidR="00CA5DB2">
        <w:t>;</w:t>
      </w:r>
    </w:p>
    <w:p w14:paraId="237801C7" w14:textId="537CEFA0" w:rsidR="00671874" w:rsidRPr="00EA175D" w:rsidRDefault="00EC46B7" w:rsidP="00EA175D">
      <w:pPr>
        <w:pStyle w:val="ab"/>
        <w:numPr>
          <w:ilvl w:val="0"/>
          <w:numId w:val="8"/>
        </w:numPr>
        <w:spacing w:line="360" w:lineRule="auto"/>
        <w:jc w:val="both"/>
      </w:pPr>
      <w:r w:rsidRPr="00EA175D">
        <w:t>Сдружение „М</w:t>
      </w:r>
      <w:r w:rsidR="00671874" w:rsidRPr="00EA175D">
        <w:t>естна инициативна група Каварна – Шабла“</w:t>
      </w:r>
      <w:r w:rsidR="00CA5DB2">
        <w:t>;</w:t>
      </w:r>
    </w:p>
    <w:p w14:paraId="4DE8F19B" w14:textId="0108F1AD" w:rsidR="00671874" w:rsidRPr="00EA175D" w:rsidRDefault="00EC46B7" w:rsidP="00EA175D">
      <w:pPr>
        <w:pStyle w:val="ab"/>
        <w:numPr>
          <w:ilvl w:val="0"/>
          <w:numId w:val="8"/>
        </w:numPr>
        <w:spacing w:line="360" w:lineRule="auto"/>
        <w:jc w:val="both"/>
      </w:pPr>
      <w:r w:rsidRPr="00EA175D">
        <w:t>Сдружение „</w:t>
      </w:r>
      <w:r w:rsidR="00671874" w:rsidRPr="00EA175D">
        <w:t>Местна инициативна група Карнобат“</w:t>
      </w:r>
      <w:r w:rsidR="00CA5DB2">
        <w:t>;</w:t>
      </w:r>
    </w:p>
    <w:p w14:paraId="7C8997A1" w14:textId="27D05213" w:rsidR="00671874" w:rsidRPr="00EA175D" w:rsidRDefault="007A16C5" w:rsidP="00EA175D">
      <w:pPr>
        <w:pStyle w:val="ab"/>
        <w:numPr>
          <w:ilvl w:val="0"/>
          <w:numId w:val="8"/>
        </w:numPr>
        <w:spacing w:line="360" w:lineRule="auto"/>
        <w:jc w:val="both"/>
      </w:pPr>
      <w:r w:rsidRPr="00EA175D">
        <w:t xml:space="preserve">Сдружение </w:t>
      </w:r>
      <w:r w:rsidR="00EC46B7" w:rsidRPr="00EA175D">
        <w:t>„Местна инициативна група „</w:t>
      </w:r>
      <w:r w:rsidRPr="00EA175D">
        <w:t>Кичика“ – Мадан – Рудозем“</w:t>
      </w:r>
      <w:r w:rsidR="00CA5DB2">
        <w:t>;</w:t>
      </w:r>
    </w:p>
    <w:p w14:paraId="458AF0E7" w14:textId="1C2EF1ED" w:rsidR="007A16C5" w:rsidRPr="00EA175D" w:rsidRDefault="005F18A5" w:rsidP="00EA175D">
      <w:pPr>
        <w:pStyle w:val="ab"/>
        <w:numPr>
          <w:ilvl w:val="0"/>
          <w:numId w:val="8"/>
        </w:numPr>
        <w:spacing w:line="360" w:lineRule="auto"/>
        <w:jc w:val="both"/>
      </w:pPr>
      <w:r w:rsidRPr="00EA175D">
        <w:t>Сдружение „Местна инициативна група – Лозница – Самуил – Хитрино“</w:t>
      </w:r>
      <w:r w:rsidR="00CA5DB2">
        <w:t>;</w:t>
      </w:r>
    </w:p>
    <w:p w14:paraId="7E4899AB" w14:textId="79A711E0" w:rsidR="005F18A5" w:rsidRPr="00EA175D" w:rsidRDefault="00EC46B7" w:rsidP="00EA175D">
      <w:pPr>
        <w:pStyle w:val="ab"/>
        <w:numPr>
          <w:ilvl w:val="0"/>
          <w:numId w:val="8"/>
        </w:numPr>
        <w:spacing w:line="360" w:lineRule="auto"/>
        <w:jc w:val="both"/>
      </w:pPr>
      <w:r w:rsidRPr="00EA175D">
        <w:t>Сдружение „</w:t>
      </w:r>
      <w:r w:rsidR="00142DDB" w:rsidRPr="00EA175D">
        <w:t>Местна инициативна група Първомай 2016“</w:t>
      </w:r>
      <w:r w:rsidR="00CA5DB2">
        <w:t>;</w:t>
      </w:r>
    </w:p>
    <w:p w14:paraId="423C2776" w14:textId="30136A90" w:rsidR="00142DDB" w:rsidRPr="00EA175D" w:rsidRDefault="008F2BC0" w:rsidP="00EA175D">
      <w:pPr>
        <w:pStyle w:val="ab"/>
        <w:numPr>
          <w:ilvl w:val="0"/>
          <w:numId w:val="8"/>
        </w:numPr>
        <w:spacing w:line="360" w:lineRule="auto"/>
        <w:jc w:val="both"/>
      </w:pPr>
      <w:r w:rsidRPr="00EA175D">
        <w:t>Сдружение „Местна инициативна група Велики Преслав“</w:t>
      </w:r>
      <w:r w:rsidR="00CA5DB2">
        <w:t>;</w:t>
      </w:r>
    </w:p>
    <w:p w14:paraId="18C2BAE7" w14:textId="3D8D3CD8" w:rsidR="008F2BC0" w:rsidRPr="00EA175D" w:rsidRDefault="00EC46B7" w:rsidP="00EA175D">
      <w:pPr>
        <w:pStyle w:val="ab"/>
        <w:numPr>
          <w:ilvl w:val="0"/>
          <w:numId w:val="8"/>
        </w:numPr>
        <w:spacing w:line="360" w:lineRule="auto"/>
        <w:jc w:val="both"/>
      </w:pPr>
      <w:r w:rsidRPr="00EA175D">
        <w:t>Сдружение „Местна инициативна група Царево – Малко Търново“</w:t>
      </w:r>
      <w:r w:rsidR="00CA5DB2">
        <w:t>;</w:t>
      </w:r>
    </w:p>
    <w:p w14:paraId="0188EC04" w14:textId="577D44E3" w:rsidR="00EC46B7" w:rsidRPr="00EA175D" w:rsidRDefault="00F657C0" w:rsidP="00EA175D">
      <w:pPr>
        <w:pStyle w:val="ab"/>
        <w:numPr>
          <w:ilvl w:val="0"/>
          <w:numId w:val="8"/>
        </w:numPr>
        <w:spacing w:line="360" w:lineRule="auto"/>
        <w:jc w:val="both"/>
      </w:pPr>
      <w:r w:rsidRPr="00EA175D">
        <w:t>Сдружение „Местна инициативна група Трън – Брезник – Божурище“</w:t>
      </w:r>
      <w:r w:rsidR="00CA5DB2">
        <w:t>;</w:t>
      </w:r>
    </w:p>
    <w:p w14:paraId="7CD2FC7D" w14:textId="101EB99B" w:rsidR="00F657C0" w:rsidRPr="00EA175D" w:rsidRDefault="000A3903" w:rsidP="00EA175D">
      <w:pPr>
        <w:pStyle w:val="ab"/>
        <w:numPr>
          <w:ilvl w:val="0"/>
          <w:numId w:val="8"/>
        </w:numPr>
        <w:spacing w:line="360" w:lineRule="auto"/>
        <w:jc w:val="both"/>
      </w:pPr>
      <w:r w:rsidRPr="00EA175D">
        <w:t>Сдружение „Местна инициативна група – Западна Стара планина – Копрен – Миджур – Чипровци, Чупрене, Георги Дамяново и Ружинци“</w:t>
      </w:r>
      <w:r w:rsidR="00CA5DB2">
        <w:t>;</w:t>
      </w:r>
    </w:p>
    <w:p w14:paraId="452D399A" w14:textId="32F8E929" w:rsidR="000A3903" w:rsidRPr="00EA175D" w:rsidRDefault="005043D4" w:rsidP="00EA175D">
      <w:pPr>
        <w:pStyle w:val="ab"/>
        <w:numPr>
          <w:ilvl w:val="0"/>
          <w:numId w:val="8"/>
        </w:numPr>
        <w:spacing w:line="360" w:lineRule="auto"/>
        <w:jc w:val="both"/>
      </w:pPr>
      <w:r w:rsidRPr="00EA175D">
        <w:t>Сдружение „Местна инициативна група – Община Садово“</w:t>
      </w:r>
      <w:r w:rsidR="00CA5DB2">
        <w:t>;</w:t>
      </w:r>
    </w:p>
    <w:p w14:paraId="7307A76D" w14:textId="5EBB037B" w:rsidR="005043D4" w:rsidRPr="00EA175D" w:rsidRDefault="00726B52" w:rsidP="00EA175D">
      <w:pPr>
        <w:pStyle w:val="ab"/>
        <w:numPr>
          <w:ilvl w:val="0"/>
          <w:numId w:val="8"/>
        </w:numPr>
        <w:spacing w:line="360" w:lineRule="auto"/>
        <w:jc w:val="both"/>
      </w:pPr>
      <w:r w:rsidRPr="00EA175D">
        <w:t>Сдружение „Местна инициативна група Дългопол – Смядово“</w:t>
      </w:r>
      <w:r w:rsidR="00CA5DB2">
        <w:t>;</w:t>
      </w:r>
    </w:p>
    <w:p w14:paraId="07AF02AD" w14:textId="47E25CDC" w:rsidR="00726B52" w:rsidRPr="00EA175D" w:rsidRDefault="00697C61" w:rsidP="00EA175D">
      <w:pPr>
        <w:pStyle w:val="ab"/>
        <w:numPr>
          <w:ilvl w:val="0"/>
          <w:numId w:val="8"/>
        </w:numPr>
        <w:spacing w:line="360" w:lineRule="auto"/>
        <w:jc w:val="both"/>
      </w:pPr>
      <w:r w:rsidRPr="00EA175D">
        <w:lastRenderedPageBreak/>
        <w:t>Сдружение „Местна инициативна група Пирдоп, Копривщица и Антон“</w:t>
      </w:r>
      <w:r w:rsidR="00CA5DB2">
        <w:t>;</w:t>
      </w:r>
    </w:p>
    <w:p w14:paraId="600666E9" w14:textId="5A7E8E14" w:rsidR="006950CF" w:rsidRPr="00EA175D" w:rsidRDefault="006950CF" w:rsidP="00EA175D">
      <w:pPr>
        <w:pStyle w:val="ab"/>
        <w:numPr>
          <w:ilvl w:val="0"/>
          <w:numId w:val="8"/>
        </w:numPr>
        <w:spacing w:line="360" w:lineRule="auto"/>
        <w:jc w:val="both"/>
      </w:pPr>
      <w:r w:rsidRPr="00EA175D">
        <w:t>Сдружение „Местна инициативна група Петрич“</w:t>
      </w:r>
      <w:r w:rsidR="00CA5DB2">
        <w:t>;</w:t>
      </w:r>
    </w:p>
    <w:p w14:paraId="70A6DE18" w14:textId="047247B8" w:rsidR="006950CF" w:rsidRPr="00EA175D" w:rsidRDefault="006950CF" w:rsidP="00EA175D">
      <w:pPr>
        <w:pStyle w:val="ab"/>
        <w:numPr>
          <w:ilvl w:val="0"/>
          <w:numId w:val="8"/>
        </w:numPr>
        <w:spacing w:line="360" w:lineRule="auto"/>
        <w:jc w:val="both"/>
      </w:pPr>
      <w:r w:rsidRPr="00EA175D">
        <w:t>Сдружение „Местна инициативна група Каварна – Шабла“</w:t>
      </w:r>
      <w:r w:rsidR="00CA5DB2">
        <w:t>;</w:t>
      </w:r>
    </w:p>
    <w:p w14:paraId="4CA33CAC" w14:textId="0C50A8DF" w:rsidR="006950CF" w:rsidRPr="00EA175D" w:rsidRDefault="006950CF" w:rsidP="00EA175D">
      <w:pPr>
        <w:pStyle w:val="ab"/>
        <w:numPr>
          <w:ilvl w:val="0"/>
          <w:numId w:val="8"/>
        </w:numPr>
        <w:spacing w:line="360" w:lineRule="auto"/>
        <w:jc w:val="both"/>
      </w:pPr>
      <w:r w:rsidRPr="00EA175D">
        <w:t>Сдружение „Местна инициативна група Ботевград“</w:t>
      </w:r>
      <w:r w:rsidR="00CA5DB2">
        <w:t>;</w:t>
      </w:r>
    </w:p>
    <w:p w14:paraId="2D5B795D" w14:textId="577FC988" w:rsidR="006950CF" w:rsidRPr="00EA175D" w:rsidRDefault="00853F15" w:rsidP="00EA175D">
      <w:pPr>
        <w:pStyle w:val="ab"/>
        <w:numPr>
          <w:ilvl w:val="0"/>
          <w:numId w:val="8"/>
        </w:numPr>
        <w:spacing w:line="360" w:lineRule="auto"/>
        <w:jc w:val="both"/>
      </w:pPr>
      <w:r w:rsidRPr="00EA175D">
        <w:t>Сдружение „Местна инициативна група Калояново“</w:t>
      </w:r>
      <w:r w:rsidR="00CA5DB2">
        <w:t>;</w:t>
      </w:r>
    </w:p>
    <w:p w14:paraId="294BA753" w14:textId="42E8381C" w:rsidR="00853F15" w:rsidRPr="00EA175D" w:rsidRDefault="00853F15" w:rsidP="00EA175D">
      <w:pPr>
        <w:pStyle w:val="ab"/>
        <w:numPr>
          <w:ilvl w:val="0"/>
          <w:numId w:val="8"/>
        </w:numPr>
        <w:spacing w:line="360" w:lineRule="auto"/>
        <w:jc w:val="both"/>
      </w:pPr>
      <w:r w:rsidRPr="00EA175D">
        <w:t>Сдружение „Местна инициативна група Девин – Смолян“</w:t>
      </w:r>
      <w:r w:rsidR="00CA5DB2">
        <w:t>;</w:t>
      </w:r>
    </w:p>
    <w:p w14:paraId="565EDA04" w14:textId="2CAFEF35" w:rsidR="006C5910" w:rsidRPr="00EA175D" w:rsidRDefault="006C5910" w:rsidP="00EA175D">
      <w:pPr>
        <w:pStyle w:val="ab"/>
        <w:numPr>
          <w:ilvl w:val="0"/>
          <w:numId w:val="8"/>
        </w:numPr>
        <w:spacing w:line="360" w:lineRule="auto"/>
        <w:jc w:val="both"/>
      </w:pPr>
      <w:r w:rsidRPr="00EA175D">
        <w:t>Сдружение „МИГ ЛИДЕР на територия Две Могили и Иваново“</w:t>
      </w:r>
      <w:r w:rsidR="00CA5DB2">
        <w:t>.</w:t>
      </w:r>
      <w:r w:rsidRPr="00EA175D">
        <w:t xml:space="preserve"> </w:t>
      </w:r>
    </w:p>
    <w:p w14:paraId="0FDEB481" w14:textId="77777777" w:rsidR="0006486D" w:rsidRPr="00EA175D" w:rsidRDefault="0006486D" w:rsidP="00EA175D">
      <w:pPr>
        <w:spacing w:line="360" w:lineRule="auto"/>
        <w:ind w:firstLine="567"/>
        <w:jc w:val="both"/>
      </w:pPr>
    </w:p>
    <w:p w14:paraId="6777AB90" w14:textId="683100FD" w:rsidR="0026512D" w:rsidRDefault="00041BCD" w:rsidP="00EA175D">
      <w:pPr>
        <w:spacing w:line="360" w:lineRule="auto"/>
        <w:ind w:firstLine="567"/>
        <w:jc w:val="both"/>
      </w:pPr>
      <w:r w:rsidRPr="00EA175D">
        <w:t>В процеса на оценка е оттеглено едно проектно предложение. Към 30.09.2021 г. Комисията за оценка на проектните предложения е в края на етап оценка на административно съответствие и допустимост. При проектните предложения, които включват строително-монтажни работи, се извършват посещения на място от помощник-оценителите, които са членове на комисията.</w:t>
      </w:r>
    </w:p>
    <w:p w14:paraId="3AFFD79B" w14:textId="77777777" w:rsidR="00EA175D" w:rsidRPr="00EA175D" w:rsidRDefault="00EA175D" w:rsidP="00EA175D">
      <w:pPr>
        <w:spacing w:line="360" w:lineRule="auto"/>
        <w:ind w:firstLine="567"/>
        <w:jc w:val="both"/>
      </w:pPr>
    </w:p>
    <w:p w14:paraId="74FDA739" w14:textId="77777777" w:rsidR="00CD795F" w:rsidRPr="00EA175D" w:rsidRDefault="00CD795F" w:rsidP="00EA175D">
      <w:pPr>
        <w:spacing w:line="360" w:lineRule="auto"/>
        <w:ind w:firstLine="567"/>
        <w:jc w:val="both"/>
        <w:rPr>
          <w:b/>
        </w:rPr>
      </w:pPr>
      <w:r w:rsidRPr="00EA175D">
        <w:rPr>
          <w:b/>
        </w:rPr>
        <w:t>Заключение</w:t>
      </w:r>
    </w:p>
    <w:p w14:paraId="420535D6" w14:textId="77777777" w:rsidR="00A308B1" w:rsidRPr="00EA175D" w:rsidRDefault="00A308B1" w:rsidP="00EA175D">
      <w:pPr>
        <w:spacing w:line="360" w:lineRule="auto"/>
        <w:ind w:firstLine="567"/>
        <w:jc w:val="both"/>
      </w:pPr>
      <w:r w:rsidRPr="00EA175D">
        <w:t xml:space="preserve">Към момента на изготвяне на настоящата оценка по подмярка 19.1 „Помощ за подготвителни дейности“ в частта за малки пилотни проекти има приключили 2 приема на проектни предложения, като са получени общо 31 проекта (7 по първи прием и 24 по втори прием) на обща стойност 4 428 087,43 лева. </w:t>
      </w:r>
    </w:p>
    <w:p w14:paraId="5CEF1D98" w14:textId="624C2FB6" w:rsidR="00CD795F" w:rsidRPr="00EA175D" w:rsidRDefault="00CD795F" w:rsidP="00EA175D">
      <w:pPr>
        <w:spacing w:line="360" w:lineRule="auto"/>
        <w:ind w:firstLine="567"/>
        <w:jc w:val="both"/>
      </w:pPr>
      <w:r w:rsidRPr="00EA175D">
        <w:t xml:space="preserve">Малките пилотни проекти са предвидени за поддържане на местните инициативни групи, чиите стратегии не са финансирани по подмярка 19.2. Прилагането на малките пилотни проекти е започнало сравнително късно, тъй като оценката на подадените по втората покана по подмярка </w:t>
      </w:r>
      <w:r w:rsidR="008E15A7" w:rsidRPr="00EA175D">
        <w:t xml:space="preserve">19.2 стратегии за ВОМР е приключила в края на 2017 г. От тази гледна точка намерението за поддръжка на МИГ, останали без финансиране на своите стратегии, е закъсняло. От друга страна е видно, че и по двата приема е регистриран интерес от страна на местни инициативни групи, което показва, че намерението на УО на ПРСР </w:t>
      </w:r>
      <w:r w:rsidR="00CA5DB2">
        <w:t xml:space="preserve">2014 - 2020 г. </w:t>
      </w:r>
      <w:r w:rsidR="008E15A7" w:rsidRPr="00EA175D">
        <w:t xml:space="preserve">за прилагането на малките пилотни проекти е обосновано и правилно. Към момента на извършване на настоящата оценка </w:t>
      </w:r>
      <w:r w:rsidR="00A308B1" w:rsidRPr="00EA175D">
        <w:t xml:space="preserve">проектите, одобрени по първа покана са в процес на изпълнение, а тези, подадени по втора покана – </w:t>
      </w:r>
      <w:r w:rsidR="00A308B1" w:rsidRPr="00EA175D">
        <w:lastRenderedPageBreak/>
        <w:t>са в процес на оценка. Предвид етапа на прилагане на малките пилотни проекти, към момента не могат да бъдат направени по-подробни заключения относно тяхното въздействие.</w:t>
      </w:r>
    </w:p>
    <w:p w14:paraId="5C4F3BAA" w14:textId="77777777" w:rsidR="00F46353" w:rsidRPr="00EA175D" w:rsidRDefault="00F46353" w:rsidP="00EA175D">
      <w:pPr>
        <w:pStyle w:val="1"/>
        <w:numPr>
          <w:ilvl w:val="1"/>
          <w:numId w:val="1"/>
        </w:numPr>
        <w:tabs>
          <w:tab w:val="left" w:pos="993"/>
        </w:tabs>
        <w:spacing w:line="360" w:lineRule="auto"/>
        <w:ind w:left="0" w:firstLine="567"/>
        <w:jc w:val="both"/>
        <w:rPr>
          <w:rFonts w:ascii="Times New Roman" w:hAnsi="Times New Roman" w:cs="Times New Roman"/>
          <w:color w:val="auto"/>
          <w:sz w:val="24"/>
          <w:szCs w:val="24"/>
        </w:rPr>
      </w:pPr>
      <w:bookmarkStart w:id="41" w:name="_Toc93489794"/>
      <w:r w:rsidRPr="00EA175D">
        <w:rPr>
          <w:rFonts w:ascii="Times New Roman" w:hAnsi="Times New Roman" w:cs="Times New Roman"/>
          <w:color w:val="auto"/>
          <w:sz w:val="24"/>
          <w:szCs w:val="24"/>
        </w:rPr>
        <w:t xml:space="preserve">Оценка на устойчивостта на стратегиите за ВОМР </w:t>
      </w:r>
      <w:r w:rsidR="003E71AA" w:rsidRPr="00EA175D">
        <w:rPr>
          <w:rFonts w:ascii="Times New Roman" w:hAnsi="Times New Roman" w:cs="Times New Roman"/>
          <w:color w:val="auto"/>
          <w:sz w:val="24"/>
          <w:szCs w:val="24"/>
        </w:rPr>
        <w:t>–</w:t>
      </w:r>
      <w:r w:rsidRPr="00EA175D">
        <w:rPr>
          <w:rFonts w:ascii="Times New Roman" w:hAnsi="Times New Roman" w:cs="Times New Roman"/>
          <w:color w:val="auto"/>
          <w:sz w:val="24"/>
          <w:szCs w:val="24"/>
        </w:rPr>
        <w:t xml:space="preserve"> промени в с</w:t>
      </w:r>
      <w:r w:rsidR="00961092" w:rsidRPr="00EA175D">
        <w:rPr>
          <w:rFonts w:ascii="Times New Roman" w:hAnsi="Times New Roman" w:cs="Times New Roman"/>
          <w:color w:val="auto"/>
          <w:sz w:val="24"/>
          <w:szCs w:val="24"/>
        </w:rPr>
        <w:t>тратегиите, причини и резултати</w:t>
      </w:r>
      <w:bookmarkEnd w:id="41"/>
    </w:p>
    <w:p w14:paraId="66B0D4BA" w14:textId="531C5DF9" w:rsidR="00D7293C" w:rsidRPr="00EA175D" w:rsidRDefault="00F20DEB" w:rsidP="00EA175D">
      <w:pPr>
        <w:spacing w:line="360" w:lineRule="auto"/>
        <w:ind w:firstLine="567"/>
        <w:jc w:val="both"/>
      </w:pPr>
      <w:r w:rsidRPr="00EA175D">
        <w:t>Както беше представено в предишни части на настоящата оценка</w:t>
      </w:r>
      <w:r w:rsidR="002F4628" w:rsidRPr="00EA175D">
        <w:t>,</w:t>
      </w:r>
      <w:r w:rsidRPr="00EA175D">
        <w:t xml:space="preserve"> </w:t>
      </w:r>
      <w:r w:rsidR="002F4628" w:rsidRPr="00EA175D">
        <w:t xml:space="preserve">структурата на прилагане на подхода ВОМР се състои от 5 </w:t>
      </w:r>
      <w:r w:rsidR="00CA5DB2">
        <w:t>У</w:t>
      </w:r>
      <w:r w:rsidR="002F4628" w:rsidRPr="00EA175D">
        <w:t xml:space="preserve">правляващи органи, ДФЗ и Министерски съвет. Към тези институтиции следва да се прибавят и местните общности, за които е и създаден подходът ВОМР. </w:t>
      </w:r>
      <w:r w:rsidR="003E71AA" w:rsidRPr="00EA175D">
        <w:t>На местно ниво подходът се прилага от МИГ и особена важност за успешно</w:t>
      </w:r>
      <w:r w:rsidR="0074151F" w:rsidRPr="00EA175D">
        <w:t>то му</w:t>
      </w:r>
      <w:r w:rsidR="003E71AA" w:rsidRPr="00EA175D">
        <w:t xml:space="preserve"> </w:t>
      </w:r>
      <w:r w:rsidR="0074151F" w:rsidRPr="00EA175D">
        <w:t xml:space="preserve">прилагане </w:t>
      </w:r>
      <w:r w:rsidR="003E71AA" w:rsidRPr="00EA175D">
        <w:t xml:space="preserve">има </w:t>
      </w:r>
      <w:r w:rsidR="0074151F" w:rsidRPr="00EA175D">
        <w:t xml:space="preserve">стабилността на местнити групи и устойчивото изпълнение на стратегиите за ВОМР. </w:t>
      </w:r>
      <w:r w:rsidR="00D7293C" w:rsidRPr="00EA175D">
        <w:t xml:space="preserve">Устойчивостта на </w:t>
      </w:r>
      <w:r w:rsidR="0074151F" w:rsidRPr="00EA175D">
        <w:t xml:space="preserve">изпълнение на </w:t>
      </w:r>
      <w:r w:rsidR="00D7293C" w:rsidRPr="00EA175D">
        <w:t>стратегиите за ВОМР има комплексен характер и зависи, както от външни фактори (устойчива нормативна рамка, институционални промени, структурни промени в оперативнитв програми, страни по споразуменията на МИГ, социално – икономически въздействия), така и от вътрешни (свързани с административния капацитет на екипа на МИГ).</w:t>
      </w:r>
    </w:p>
    <w:p w14:paraId="28DDD9F5" w14:textId="77777777" w:rsidR="0074151F" w:rsidRPr="00EA175D" w:rsidRDefault="002648DB" w:rsidP="00EA175D">
      <w:pPr>
        <w:spacing w:line="360" w:lineRule="auto"/>
        <w:ind w:firstLine="567"/>
        <w:jc w:val="both"/>
      </w:pPr>
      <w:r w:rsidRPr="00EA175D">
        <w:t xml:space="preserve">Нормативната уредба по подхода ВОМР определя възможностите за промени както в стратегиите за ВОМР, така и в МИГ. След подписване на споразуменията за изпълнение на стратегии за ВОМР, промени в тях се допускат на основание чл. 39, чл. 43 и чл. 44 от Наредба № 22 от 2015 г. за прилагане на подмярка 19.2 „Прилагане на операции в рамките на стратегии за водено от общностите местно развитие“ на мярка 19 „Водено от общностите местно развитие“ от ПРСР 2014 – 2020 г. Промените, описани в чл. 44 се извършват с едностранно писмено уведомление от МИГ до всички страни по споразумението, като не е необходимо разрешение от УО на ПРСР 2014 – 2020 г. </w:t>
      </w:r>
      <w:r w:rsidR="00AE0E32" w:rsidRPr="00EA175D">
        <w:t>Те са свързани с промени в адреса на адреса за кореспонденция, седалището и адреса на управление на МИГ, както и на законния представител на МИГ. Тези промени не оказват влияние върху устойчивостта на МИГ и на изпълнението на стратегиите за ВОМР, поради което и са с по-свободен режим на одобрение и поради това няма да бъдат разгледани в настоящата оценка.</w:t>
      </w:r>
    </w:p>
    <w:p w14:paraId="61FF658B" w14:textId="77777777" w:rsidR="00D7293C" w:rsidRPr="00EA175D" w:rsidRDefault="00D7293C" w:rsidP="00EA175D">
      <w:pPr>
        <w:spacing w:line="360" w:lineRule="auto"/>
        <w:ind w:firstLine="567"/>
        <w:jc w:val="both"/>
      </w:pPr>
      <w:r w:rsidRPr="00EA175D">
        <w:lastRenderedPageBreak/>
        <w:t xml:space="preserve">От съществено влияние за постигане на целите на СВОМР са фактори, върху които МИГ не може да повлияе, като същевременно от тях в голяма степен зависи </w:t>
      </w:r>
      <w:r w:rsidR="00AE0E32" w:rsidRPr="00EA175D">
        <w:t>навременното</w:t>
      </w:r>
      <w:r w:rsidRPr="00EA175D">
        <w:t xml:space="preserve"> изпълнение на проектите на бенефициентите, които са важен инструмент за постигане на целите на местните стратегии за развитие. Регистрирането </w:t>
      </w:r>
      <w:r w:rsidR="00AE0E32" w:rsidRPr="00EA175D">
        <w:t xml:space="preserve">на </w:t>
      </w:r>
      <w:r w:rsidRPr="00EA175D">
        <w:t>забавяне, свързано с одобряването на оценителните доклади (процедури) и сключването на договори за безвъзмездна финансова помощ създа</w:t>
      </w:r>
      <w:r w:rsidR="00AE0E32" w:rsidRPr="00EA175D">
        <w:t>ва</w:t>
      </w:r>
      <w:r w:rsidRPr="00EA175D">
        <w:t xml:space="preserve"> атмосфера на несигурност и неизвестност какво ще се случи с одобрените от МИГ проекти. Тази несигурност демотивира бенефициентите да кандидатстват. Освен това, поради промяна в икономическата конюнктура се променят условията, в които бенефициентите трябва да реализират своите бизнес планове и поставя под риск тяхното успешно изпълнение.</w:t>
      </w:r>
      <w:r w:rsidR="00AE0E32" w:rsidRPr="00EA175D">
        <w:t xml:space="preserve"> За преодоляване на </w:t>
      </w:r>
      <w:r w:rsidR="00745698" w:rsidRPr="00EA175D">
        <w:t>част от тези външни влияния МИГ са принудени да извършват промени в стратегиите за ВОМР (най-честно свързани с прехвърляне на средства между мерките в стратегията). Други причини за промени в стратегиите за ВОМР са п</w:t>
      </w:r>
      <w:r w:rsidRPr="00EA175D">
        <w:t>ромени в нормативната уредба, указанията, правилата и насоките, определящи реда и условията за прием на проекти по съответните мерки, издавани от УО на програмите, участващи във финансирането на стратегиите, констатирани технически грешки в стратегиите.</w:t>
      </w:r>
    </w:p>
    <w:p w14:paraId="1DE761A9" w14:textId="024DEDAE" w:rsidR="00D7293C" w:rsidRPr="00EA175D" w:rsidRDefault="00D7293C" w:rsidP="00EA175D">
      <w:pPr>
        <w:spacing w:line="360" w:lineRule="auto"/>
        <w:ind w:firstLine="567"/>
        <w:jc w:val="both"/>
      </w:pPr>
      <w:r w:rsidRPr="00EA175D">
        <w:t xml:space="preserve">След подписване на споразумения за изпълнение на стратегии за ВОМР промени в стратегията за ВОМР се допускат на основание чл. 39, чл. 43 и чл. 44 от Наредба № 22 от 2015 г. </w:t>
      </w:r>
      <w:r w:rsidR="00745698" w:rsidRPr="00EA175D">
        <w:t>(както беше споменато по</w:t>
      </w:r>
      <w:r w:rsidR="00CA5DB2">
        <w:t>-</w:t>
      </w:r>
      <w:r w:rsidR="00745698" w:rsidRPr="00EA175D">
        <w:t xml:space="preserve">горе тези промени не са предмет на настоящата оценка) </w:t>
      </w:r>
      <w:r w:rsidRPr="00EA175D">
        <w:t xml:space="preserve">за прилагане на подмярка 19.2 „Прилагане на операции в рамките на стратегии за водено от общностите местно развитие“ на мярка 19 „Водено от общностите местно развитие“ от ПРСР 2014 – 2020 г. </w:t>
      </w:r>
    </w:p>
    <w:p w14:paraId="509A53E7" w14:textId="77777777" w:rsidR="00D7293C" w:rsidRPr="00EA175D" w:rsidRDefault="00745698" w:rsidP="00EA175D">
      <w:pPr>
        <w:tabs>
          <w:tab w:val="left" w:pos="851"/>
        </w:tabs>
        <w:spacing w:line="360" w:lineRule="auto"/>
        <w:ind w:firstLine="567"/>
        <w:jc w:val="both"/>
      </w:pPr>
      <w:r w:rsidRPr="00EA175D">
        <w:t>Към момента на извършване на настоящата оценка от страна на УО на ПРСР 2014 – 2020 г.</w:t>
      </w:r>
      <w:r w:rsidR="00D7293C" w:rsidRPr="00EA175D">
        <w:t xml:space="preserve"> са одобрени </w:t>
      </w:r>
      <w:r w:rsidRPr="00EA175D">
        <w:t xml:space="preserve">общо </w:t>
      </w:r>
      <w:r w:rsidR="00D7293C" w:rsidRPr="00EA175D">
        <w:t xml:space="preserve">222 броя промени на основание чл. 39 от Наредба № 22 от 2015 г., </w:t>
      </w:r>
      <w:r w:rsidRPr="00EA175D">
        <w:t>които са</w:t>
      </w:r>
      <w:r w:rsidR="00D7293C" w:rsidRPr="00EA175D">
        <w:t xml:space="preserve"> </w:t>
      </w:r>
      <w:r w:rsidRPr="00EA175D">
        <w:t>с</w:t>
      </w:r>
      <w:r w:rsidR="00D7293C" w:rsidRPr="00EA175D">
        <w:t>връза</w:t>
      </w:r>
      <w:r w:rsidRPr="00EA175D">
        <w:t>ни</w:t>
      </w:r>
      <w:r w:rsidR="00D7293C" w:rsidRPr="00EA175D">
        <w:t xml:space="preserve"> с:</w:t>
      </w:r>
    </w:p>
    <w:p w14:paraId="4B91B802" w14:textId="77777777" w:rsidR="00D7293C" w:rsidRPr="00EA175D" w:rsidRDefault="00D7293C" w:rsidP="00EA175D">
      <w:pPr>
        <w:tabs>
          <w:tab w:val="left" w:pos="851"/>
        </w:tabs>
        <w:spacing w:line="360" w:lineRule="auto"/>
        <w:ind w:firstLine="567"/>
        <w:jc w:val="both"/>
      </w:pPr>
      <w:r w:rsidRPr="00EA175D">
        <w:t>1.</w:t>
      </w:r>
      <w:r w:rsidRPr="00EA175D">
        <w:tab/>
        <w:t>промяна на приложимата нормативна уредба и/или във връзка с промяна на съответната програма;</w:t>
      </w:r>
    </w:p>
    <w:p w14:paraId="304CFE91" w14:textId="77777777" w:rsidR="00D7293C" w:rsidRPr="00EA175D" w:rsidRDefault="00D7293C" w:rsidP="00EA175D">
      <w:pPr>
        <w:tabs>
          <w:tab w:val="left" w:pos="851"/>
        </w:tabs>
        <w:spacing w:line="360" w:lineRule="auto"/>
        <w:ind w:firstLine="567"/>
        <w:jc w:val="both"/>
      </w:pPr>
      <w:r w:rsidRPr="00EA175D">
        <w:t>2.</w:t>
      </w:r>
      <w:r w:rsidRPr="00EA175D">
        <w:tab/>
        <w:t>наличие на очевидна грешка;</w:t>
      </w:r>
    </w:p>
    <w:p w14:paraId="14CED25A" w14:textId="77777777" w:rsidR="00D7293C" w:rsidRPr="00EA175D" w:rsidRDefault="00D7293C" w:rsidP="00EA175D">
      <w:pPr>
        <w:tabs>
          <w:tab w:val="left" w:pos="851"/>
        </w:tabs>
        <w:spacing w:line="360" w:lineRule="auto"/>
        <w:ind w:firstLine="567"/>
        <w:jc w:val="both"/>
      </w:pPr>
      <w:r w:rsidRPr="00EA175D">
        <w:lastRenderedPageBreak/>
        <w:t>3.</w:t>
      </w:r>
      <w:r w:rsidRPr="00EA175D">
        <w:tab/>
      </w:r>
      <w:r w:rsidR="00745698" w:rsidRPr="00EA175D">
        <w:t xml:space="preserve">промяна </w:t>
      </w:r>
      <w:r w:rsidRPr="00EA175D">
        <w:t>по отношение на финансовите й параметри до 10 на сто от одобрения от ЕЗФРСР бюджет по подмярка 19.2;</w:t>
      </w:r>
    </w:p>
    <w:p w14:paraId="5D6879B8" w14:textId="77777777" w:rsidR="00D7293C" w:rsidRPr="00EA175D" w:rsidRDefault="00D7293C" w:rsidP="00EA175D">
      <w:pPr>
        <w:tabs>
          <w:tab w:val="left" w:pos="851"/>
        </w:tabs>
        <w:spacing w:line="360" w:lineRule="auto"/>
        <w:ind w:firstLine="567"/>
        <w:jc w:val="both"/>
      </w:pPr>
      <w:r w:rsidRPr="00EA175D">
        <w:t>4.</w:t>
      </w:r>
      <w:r w:rsidRPr="00EA175D">
        <w:tab/>
      </w:r>
      <w:r w:rsidR="005D3DAA" w:rsidRPr="00EA175D">
        <w:t>пром</w:t>
      </w:r>
      <w:r w:rsidR="00745698" w:rsidRPr="00EA175D">
        <w:t xml:space="preserve">яна </w:t>
      </w:r>
      <w:r w:rsidRPr="00EA175D">
        <w:t>по отношение на мониторинговите индикатори за резултат във връзка с промяна на финансовите параметри по т. 3 на минималната и максималната стойност на проектите или на интензитета на помощта по т. 5;</w:t>
      </w:r>
    </w:p>
    <w:p w14:paraId="0C127C70" w14:textId="77777777" w:rsidR="00D7293C" w:rsidRPr="00EA175D" w:rsidRDefault="00D7293C" w:rsidP="00EA175D">
      <w:pPr>
        <w:tabs>
          <w:tab w:val="left" w:pos="851"/>
        </w:tabs>
        <w:spacing w:line="360" w:lineRule="auto"/>
        <w:ind w:firstLine="567"/>
        <w:jc w:val="both"/>
      </w:pPr>
      <w:r w:rsidRPr="00EA175D">
        <w:t>5.</w:t>
      </w:r>
      <w:r w:rsidRPr="00EA175D">
        <w:tab/>
      </w:r>
      <w:r w:rsidR="00745698" w:rsidRPr="00EA175D">
        <w:t xml:space="preserve">промяна </w:t>
      </w:r>
      <w:r w:rsidRPr="00EA175D">
        <w:t>по отношение на критериите за оценка, минимална и максимална стойност на проектите и интензитет на помощта;</w:t>
      </w:r>
    </w:p>
    <w:p w14:paraId="3C3C7A14" w14:textId="77777777" w:rsidR="00D7293C" w:rsidRPr="00EA175D" w:rsidRDefault="00D7293C" w:rsidP="00EA175D">
      <w:pPr>
        <w:tabs>
          <w:tab w:val="left" w:pos="851"/>
        </w:tabs>
        <w:spacing w:line="360" w:lineRule="auto"/>
        <w:ind w:firstLine="567"/>
        <w:jc w:val="both"/>
      </w:pPr>
      <w:r w:rsidRPr="00EA175D">
        <w:t>6.</w:t>
      </w:r>
      <w:r w:rsidRPr="00EA175D">
        <w:tab/>
        <w:t>за увеличаване или намаляване на финансовата помощ от ЕЗФРСР пр</w:t>
      </w:r>
      <w:r w:rsidR="00745698" w:rsidRPr="00EA175D">
        <w:t>и условията и по реда на чл. 41 на Наредба № 22 от 2015 г.</w:t>
      </w:r>
    </w:p>
    <w:p w14:paraId="77241D3D" w14:textId="77777777" w:rsidR="00D7293C" w:rsidRPr="00EA175D" w:rsidRDefault="00D7293C" w:rsidP="00EA175D">
      <w:pPr>
        <w:tabs>
          <w:tab w:val="left" w:pos="851"/>
        </w:tabs>
        <w:spacing w:line="360" w:lineRule="auto"/>
        <w:ind w:firstLine="567"/>
        <w:jc w:val="both"/>
      </w:pPr>
      <w:r w:rsidRPr="00EA175D">
        <w:t xml:space="preserve">От представената информация е видно, че всяка местна инициативна група е извършила </w:t>
      </w:r>
      <w:r w:rsidR="00C27F73" w:rsidRPr="00EA175D">
        <w:t xml:space="preserve">средно 3,5 </w:t>
      </w:r>
      <w:r w:rsidRPr="00EA175D">
        <w:t>промeни</w:t>
      </w:r>
      <w:r w:rsidR="00C27F73" w:rsidRPr="00EA175D">
        <w:t xml:space="preserve"> в стратегията си за ВОМР</w:t>
      </w:r>
      <w:r w:rsidRPr="00EA175D">
        <w:t>, к</w:t>
      </w:r>
      <w:r w:rsidR="00C27F73" w:rsidRPr="00EA175D">
        <w:t>оито са свързани</w:t>
      </w:r>
      <w:r w:rsidRPr="00EA175D">
        <w:t xml:space="preserve"> с</w:t>
      </w:r>
      <w:r w:rsidR="00C27F73" w:rsidRPr="00EA175D">
        <w:t>ъс сключване на</w:t>
      </w:r>
      <w:r w:rsidRPr="00EA175D">
        <w:t xml:space="preserve"> допълнителни споразумения</w:t>
      </w:r>
      <w:r w:rsidR="005D3DAA" w:rsidRPr="00EA175D">
        <w:t xml:space="preserve"> и са извършени с цел успешното им прилагане. Най-много промени са извършени в стратегията за ВОМР на МИГ „Стралджа 2016“ – 7, МИГ „Лясковец – Стражица“ и МИГ „Община Марица“ – по 6, а най-малко са в стратегиите на МИГ „Костинброд – Своге“ и МИГ „Луковит – Роман“.</w:t>
      </w:r>
    </w:p>
    <w:p w14:paraId="3F82B468" w14:textId="77777777" w:rsidR="005D3DAA" w:rsidRPr="00EA175D" w:rsidRDefault="00D7293C" w:rsidP="00EA175D">
      <w:pPr>
        <w:tabs>
          <w:tab w:val="left" w:pos="851"/>
        </w:tabs>
        <w:spacing w:line="360" w:lineRule="auto"/>
        <w:ind w:firstLine="567"/>
        <w:jc w:val="both"/>
      </w:pPr>
      <w:r w:rsidRPr="00EA175D">
        <w:t>На основание чл. 43, ал. 1 от Наредба № 22 от 2015 г. за прилагане на подмярка 19.2 „Прилагане на операции в рамките на стратегии за водено от общностите местно развитие“ са одобрени 147 броя промени в персонала на МИГ, в т.ч. и на изпълнителни директори</w:t>
      </w:r>
      <w:r w:rsidR="00B939E3" w:rsidRPr="00EA175D">
        <w:t xml:space="preserve">. Промените са извършвани не във всички МИГ – в 13 МИГ не са извършвани промени в </w:t>
      </w:r>
      <w:r w:rsidR="003E317D" w:rsidRPr="00EA175D">
        <w:t xml:space="preserve">екипите на МИГ, </w:t>
      </w:r>
      <w:r w:rsidR="00A552FC" w:rsidRPr="00EA175D">
        <w:t>което прави с</w:t>
      </w:r>
      <w:r w:rsidR="003E317D" w:rsidRPr="00EA175D">
        <w:t>р</w:t>
      </w:r>
      <w:r w:rsidR="00A552FC" w:rsidRPr="00EA175D">
        <w:t xml:space="preserve">едно по около </w:t>
      </w:r>
      <w:r w:rsidR="003E317D" w:rsidRPr="00EA175D">
        <w:t>3</w:t>
      </w:r>
      <w:r w:rsidR="00A552FC" w:rsidRPr="00EA175D">
        <w:t xml:space="preserve"> промени в персонала на всяка МИГ. </w:t>
      </w:r>
      <w:r w:rsidR="003E317D" w:rsidRPr="00EA175D">
        <w:t>Най-много промени са извършени в МИГ „Елена, Златарица“ – 15 броя</w:t>
      </w:r>
      <w:r w:rsidR="005D3DAA" w:rsidRPr="00EA175D">
        <w:t>, следва МИГ „Айтос“ с 9 промени.</w:t>
      </w:r>
      <w:r w:rsidR="003E317D" w:rsidRPr="00EA175D">
        <w:t xml:space="preserve"> </w:t>
      </w:r>
    </w:p>
    <w:p w14:paraId="144FCE61" w14:textId="02A3E5FC" w:rsidR="005D3DAA" w:rsidRPr="00EA175D" w:rsidRDefault="00A552FC" w:rsidP="00EA175D">
      <w:pPr>
        <w:tabs>
          <w:tab w:val="left" w:pos="851"/>
        </w:tabs>
        <w:spacing w:line="360" w:lineRule="auto"/>
        <w:ind w:firstLine="567"/>
        <w:jc w:val="both"/>
      </w:pPr>
      <w:r w:rsidRPr="00EA175D">
        <w:t>П</w:t>
      </w:r>
      <w:r w:rsidR="00D7293C" w:rsidRPr="00EA175D">
        <w:t>ромените в състав</w:t>
      </w:r>
      <w:r w:rsidRPr="00EA175D">
        <w:t>ите</w:t>
      </w:r>
      <w:r w:rsidR="00D7293C" w:rsidRPr="00EA175D">
        <w:t xml:space="preserve"> на колективния върховен орган са 170 броя, </w:t>
      </w:r>
      <w:r w:rsidR="003E317D" w:rsidRPr="00EA175D">
        <w:t xml:space="preserve">като в 11 МИГ не са извършвани промени, което прави </w:t>
      </w:r>
      <w:r w:rsidR="00F67DE2" w:rsidRPr="00EA175D">
        <w:t>с</w:t>
      </w:r>
      <w:r w:rsidR="00F67DE2">
        <w:t>р</w:t>
      </w:r>
      <w:r w:rsidR="00F67DE2" w:rsidRPr="00EA175D">
        <w:t xml:space="preserve">едно </w:t>
      </w:r>
      <w:r w:rsidR="003E317D" w:rsidRPr="00EA175D">
        <w:t xml:space="preserve">по 3 промени в МИГ. </w:t>
      </w:r>
      <w:r w:rsidR="005D3DAA" w:rsidRPr="00EA175D">
        <w:t>Най-много промени са извършени в КВО на МИГ „Сандански“ и МИГ „Белово, Септември, Велинград“ – по 8.</w:t>
      </w:r>
    </w:p>
    <w:p w14:paraId="54AD157C" w14:textId="77777777" w:rsidR="005D3DAA" w:rsidRPr="00EA175D" w:rsidRDefault="003E317D" w:rsidP="00EA175D">
      <w:pPr>
        <w:tabs>
          <w:tab w:val="left" w:pos="851"/>
        </w:tabs>
        <w:spacing w:line="360" w:lineRule="auto"/>
        <w:ind w:firstLine="567"/>
        <w:jc w:val="both"/>
      </w:pPr>
      <w:r w:rsidRPr="00EA175D">
        <w:t>И</w:t>
      </w:r>
      <w:r w:rsidR="00D7293C" w:rsidRPr="00EA175D">
        <w:t>звършени са 165 броя промени и в съставите на колективния управителен орган</w:t>
      </w:r>
      <w:r w:rsidRPr="00EA175D">
        <w:t>, като в</w:t>
      </w:r>
      <w:r w:rsidR="00BB1AFB" w:rsidRPr="00EA175D">
        <w:t xml:space="preserve"> 5 МИГ не са извършвани промени, което прави средно по 2,5 промени в МИГ.</w:t>
      </w:r>
      <w:r w:rsidR="00D7293C" w:rsidRPr="00EA175D">
        <w:t xml:space="preserve"> </w:t>
      </w:r>
      <w:r w:rsidR="005D3DAA" w:rsidRPr="00EA175D">
        <w:lastRenderedPageBreak/>
        <w:t xml:space="preserve">Най-много промени са извършени в КУО на МИГ „Раковски“, МИГ „Средец“ и МИГ „Дряново – Трявна в сърцето на Балкана“ – по 6.  </w:t>
      </w:r>
    </w:p>
    <w:p w14:paraId="0F1E235F" w14:textId="77777777" w:rsidR="00D7293C" w:rsidRPr="00EA175D" w:rsidRDefault="00D7293C" w:rsidP="00EA175D">
      <w:pPr>
        <w:tabs>
          <w:tab w:val="left" w:pos="851"/>
        </w:tabs>
        <w:spacing w:line="360" w:lineRule="auto"/>
        <w:ind w:firstLine="567"/>
        <w:jc w:val="both"/>
      </w:pPr>
      <w:r w:rsidRPr="00EA175D">
        <w:t>Одобрените промени на офисите на МИГ са 12 броя</w:t>
      </w:r>
      <w:r w:rsidR="00F4206F" w:rsidRPr="00EA175D">
        <w:t>, като всички МИГ, които са променяли адреса си са го правили само по веднъж.</w:t>
      </w:r>
      <w:r w:rsidRPr="00EA175D">
        <w:t xml:space="preserve"> За целта са изготвени доклади и споразуменията са променени едностранно от УО на ПРСР 2014 – 2020 г. въз основа на подадено заявление от МИГ.</w:t>
      </w:r>
    </w:p>
    <w:p w14:paraId="123FA784" w14:textId="77777777" w:rsidR="000B371B" w:rsidRPr="00EA175D" w:rsidRDefault="000B371B" w:rsidP="00EA175D">
      <w:pPr>
        <w:tabs>
          <w:tab w:val="left" w:pos="851"/>
        </w:tabs>
        <w:spacing w:line="360" w:lineRule="auto"/>
        <w:ind w:firstLine="567"/>
        <w:jc w:val="both"/>
      </w:pPr>
    </w:p>
    <w:p w14:paraId="2F0A28AE" w14:textId="77777777" w:rsidR="000B371B" w:rsidRPr="00EA175D" w:rsidRDefault="000B371B" w:rsidP="00EA175D">
      <w:pPr>
        <w:tabs>
          <w:tab w:val="left" w:pos="851"/>
        </w:tabs>
        <w:spacing w:line="360" w:lineRule="auto"/>
        <w:ind w:firstLine="567"/>
        <w:jc w:val="both"/>
      </w:pPr>
      <w:r w:rsidRPr="00EA175D">
        <w:t>Графика. Промени в стратегиите за ВОМР и в МИГ.</w:t>
      </w:r>
    </w:p>
    <w:p w14:paraId="33C757C1" w14:textId="77777777" w:rsidR="00A552FC" w:rsidRPr="00EA175D" w:rsidRDefault="000B371B" w:rsidP="00EA175D">
      <w:pPr>
        <w:tabs>
          <w:tab w:val="left" w:pos="851"/>
        </w:tabs>
        <w:spacing w:line="360" w:lineRule="auto"/>
        <w:ind w:firstLine="567"/>
        <w:jc w:val="both"/>
      </w:pPr>
      <w:r w:rsidRPr="00EA175D">
        <w:rPr>
          <w:lang w:val="it-IT" w:eastAsia="it-IT"/>
        </w:rPr>
        <w:drawing>
          <wp:inline distT="0" distB="0" distL="0" distR="0" wp14:anchorId="665C7B3A" wp14:editId="04F05C28">
            <wp:extent cx="4572000" cy="2743200"/>
            <wp:effectExtent l="0" t="0" r="19050" b="1905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17E57F7" w14:textId="77777777" w:rsidR="00A552FC" w:rsidRPr="00EA175D" w:rsidRDefault="00A552FC" w:rsidP="00EA175D">
      <w:pPr>
        <w:tabs>
          <w:tab w:val="left" w:pos="851"/>
        </w:tabs>
        <w:spacing w:line="360" w:lineRule="auto"/>
        <w:ind w:firstLine="567"/>
        <w:jc w:val="both"/>
      </w:pPr>
    </w:p>
    <w:p w14:paraId="670151D4" w14:textId="77777777" w:rsidR="00D7293C" w:rsidRPr="00EA175D" w:rsidRDefault="00843AB4" w:rsidP="00EA175D">
      <w:pPr>
        <w:tabs>
          <w:tab w:val="left" w:pos="851"/>
        </w:tabs>
        <w:spacing w:line="360" w:lineRule="auto"/>
        <w:ind w:firstLine="567"/>
        <w:jc w:val="both"/>
      </w:pPr>
      <w:r w:rsidRPr="00EA175D">
        <w:t xml:space="preserve">От представената информация е видно, че в процеса на изпълнение на стратегиите за ВОМР в тях са извършени не малък брой промени. Основната част от извършените промени са насочени към успешното прилагане на стратегиите за ВОМР. </w:t>
      </w:r>
      <w:r w:rsidR="00D7293C" w:rsidRPr="00EA175D">
        <w:t xml:space="preserve">Очакваните резултати </w:t>
      </w:r>
      <w:r w:rsidRPr="00EA175D">
        <w:t xml:space="preserve">от изпълнението на подхода ВОМР </w:t>
      </w:r>
      <w:r w:rsidR="00D7293C" w:rsidRPr="00EA175D">
        <w:t>са да се изгради устойчив административен капацитет</w:t>
      </w:r>
      <w:r w:rsidRPr="00EA175D">
        <w:t xml:space="preserve"> и умения за прилагане на подхода ВОМР</w:t>
      </w:r>
      <w:r w:rsidR="00D7293C" w:rsidRPr="00EA175D">
        <w:t>, не само от екип</w:t>
      </w:r>
      <w:r w:rsidRPr="00EA175D">
        <w:t>ите на МИГ</w:t>
      </w:r>
      <w:r w:rsidR="00D7293C" w:rsidRPr="00EA175D">
        <w:t>, но и от местн</w:t>
      </w:r>
      <w:r w:rsidRPr="00EA175D">
        <w:t>и</w:t>
      </w:r>
      <w:r w:rsidR="00D7293C" w:rsidRPr="00EA175D">
        <w:t>т</w:t>
      </w:r>
      <w:r w:rsidRPr="00EA175D">
        <w:t>е</w:t>
      </w:r>
      <w:r w:rsidR="00D7293C" w:rsidRPr="00EA175D">
        <w:t xml:space="preserve"> общност</w:t>
      </w:r>
      <w:r w:rsidRPr="00EA175D">
        <w:t>и</w:t>
      </w:r>
      <w:r w:rsidR="00D7293C" w:rsidRPr="00EA175D">
        <w:t xml:space="preserve">. Промените в стратегиите </w:t>
      </w:r>
      <w:r w:rsidRPr="00EA175D">
        <w:t>целят</w:t>
      </w:r>
      <w:r w:rsidR="00D7293C" w:rsidRPr="00EA175D">
        <w:t xml:space="preserve"> да допринес</w:t>
      </w:r>
      <w:r w:rsidRPr="00EA175D">
        <w:t>а</w:t>
      </w:r>
      <w:r w:rsidR="00D7293C" w:rsidRPr="00EA175D">
        <w:t xml:space="preserve">т за интегрираното </w:t>
      </w:r>
      <w:r w:rsidR="009E06DE" w:rsidRPr="00EA175D">
        <w:t xml:space="preserve">и многосекторно териториално развитие и за </w:t>
      </w:r>
      <w:r w:rsidR="00D7293C" w:rsidRPr="00EA175D">
        <w:t>цялостното устойчиво развитие</w:t>
      </w:r>
      <w:r w:rsidR="009E06DE" w:rsidRPr="00EA175D">
        <w:t xml:space="preserve"> на съответните територии</w:t>
      </w:r>
      <w:r w:rsidR="00D7293C" w:rsidRPr="00EA175D">
        <w:t xml:space="preserve">: икономическо (насърчаване на конкурентоспособността </w:t>
      </w:r>
      <w:r w:rsidR="00A34FF1" w:rsidRPr="00EA175D">
        <w:t>и развитие на местните икономики</w:t>
      </w:r>
      <w:r w:rsidR="009E06DE" w:rsidRPr="00EA175D">
        <w:t>)</w:t>
      </w:r>
      <w:r w:rsidR="00A34FF1" w:rsidRPr="00EA175D">
        <w:t xml:space="preserve"> </w:t>
      </w:r>
      <w:r w:rsidR="00D7293C" w:rsidRPr="00EA175D">
        <w:t xml:space="preserve">и социално (балансирано </w:t>
      </w:r>
      <w:r w:rsidR="00D7293C" w:rsidRPr="00EA175D">
        <w:lastRenderedPageBreak/>
        <w:t>териториално развитие</w:t>
      </w:r>
      <w:r w:rsidR="00A34FF1" w:rsidRPr="00EA175D">
        <w:t>,</w:t>
      </w:r>
      <w:r w:rsidR="00D7293C" w:rsidRPr="00EA175D">
        <w:t xml:space="preserve"> поддържане на заетост</w:t>
      </w:r>
      <w:r w:rsidR="00A34FF1" w:rsidRPr="00EA175D">
        <w:t>, включване на всички социални групи в процеса на развитие на териториите, формиране на местни общности и др</w:t>
      </w:r>
      <w:r w:rsidR="00D7293C" w:rsidRPr="00EA175D">
        <w:t>).</w:t>
      </w:r>
    </w:p>
    <w:p w14:paraId="38AD2D93" w14:textId="77777777" w:rsidR="00B939E3" w:rsidRPr="00F77584" w:rsidRDefault="00B939E3" w:rsidP="00EA175D">
      <w:pPr>
        <w:tabs>
          <w:tab w:val="left" w:pos="851"/>
        </w:tabs>
        <w:spacing w:line="360" w:lineRule="auto"/>
        <w:ind w:firstLine="567"/>
        <w:jc w:val="both"/>
        <w:rPr>
          <w:highlight w:val="yellow"/>
          <w:lang w:val="ru-RU"/>
        </w:rPr>
      </w:pPr>
    </w:p>
    <w:p w14:paraId="66BA337F" w14:textId="77777777" w:rsidR="000D7978" w:rsidRPr="00EA175D" w:rsidRDefault="000D7978" w:rsidP="00EA175D">
      <w:pPr>
        <w:tabs>
          <w:tab w:val="left" w:pos="851"/>
        </w:tabs>
        <w:spacing w:line="360" w:lineRule="auto"/>
        <w:ind w:firstLine="567"/>
        <w:jc w:val="both"/>
        <w:rPr>
          <w:b/>
        </w:rPr>
      </w:pPr>
      <w:r w:rsidRPr="00EA175D">
        <w:rPr>
          <w:b/>
        </w:rPr>
        <w:t>Заключение</w:t>
      </w:r>
    </w:p>
    <w:p w14:paraId="105679D6" w14:textId="47FC0FD8" w:rsidR="00E54BCF" w:rsidRPr="00EA175D" w:rsidRDefault="00B2292D" w:rsidP="00EA175D">
      <w:pPr>
        <w:tabs>
          <w:tab w:val="left" w:pos="851"/>
        </w:tabs>
        <w:spacing w:line="360" w:lineRule="auto"/>
        <w:ind w:firstLine="567"/>
        <w:jc w:val="both"/>
      </w:pPr>
      <w:r w:rsidRPr="00EA175D">
        <w:t xml:space="preserve">За периода, обхванат от настоящата оценка в стратегиите за ВОМР и в МИГ са извършени общо 704 промени, от които в стратегиите – 222 и в МИГ – 482. </w:t>
      </w:r>
      <w:r w:rsidR="00E54BCF" w:rsidRPr="00EA175D">
        <w:t xml:space="preserve">От промените в МИГ следва да се обърне внимание на високия брой промени в екипите, </w:t>
      </w:r>
      <w:r w:rsidR="008B6FF3" w:rsidRPr="00EA175D">
        <w:t xml:space="preserve">като при някои от </w:t>
      </w:r>
      <w:r w:rsidR="00E54BCF" w:rsidRPr="00EA175D">
        <w:t>МИГ</w:t>
      </w:r>
      <w:r w:rsidR="008B6FF3" w:rsidRPr="00EA175D">
        <w:t xml:space="preserve"> те са голям брой (</w:t>
      </w:r>
      <w:r w:rsidR="008B6FF3" w:rsidRPr="00EA175D">
        <w:rPr>
          <w:b/>
          <w:bCs/>
        </w:rPr>
        <w:t>Приложение №</w:t>
      </w:r>
      <w:r w:rsidR="00377CF9" w:rsidRPr="00EA175D">
        <w:rPr>
          <w:b/>
          <w:bCs/>
        </w:rPr>
        <w:t xml:space="preserve"> 1</w:t>
      </w:r>
      <w:r w:rsidR="00536A51" w:rsidRPr="00EA175D">
        <w:rPr>
          <w:b/>
          <w:bCs/>
        </w:rPr>
        <w:t>1</w:t>
      </w:r>
      <w:r w:rsidR="008B6FF3" w:rsidRPr="00EA175D">
        <w:t>)</w:t>
      </w:r>
      <w:r w:rsidR="00E54BCF" w:rsidRPr="00EA175D">
        <w:t xml:space="preserve">. </w:t>
      </w:r>
      <w:r w:rsidR="0004234D" w:rsidRPr="00EA175D">
        <w:t xml:space="preserve">От показаната в т. 3.12 на настоящата оценка информация е видно, че в екипите на МИГ работят общо 230 (средно по 4 души в МИГ) души, като в процеса на изпълнение на стратегиите за ВОМР са извършени 147 промени. Следва да се има предвид, че </w:t>
      </w:r>
      <w:r w:rsidR="008B6FF3" w:rsidRPr="00EA175D">
        <w:t>екипите на МИГ са заети с ежедневната работа по прилагане на стратегиите за ВОМР и се състоят от квалифицирани хора, работещи по подхода ВОМР, който изисква специфична квалификация и опит. Текучеството на персонала при екипите на МИГ може да доведе до нежелани последици и риск при изпълнението на съответните стратегии за ВОМР и следва да бъде минимизирано.</w:t>
      </w:r>
    </w:p>
    <w:p w14:paraId="608CD364" w14:textId="3E4C65DB" w:rsidR="000D7978" w:rsidRPr="00EA175D" w:rsidRDefault="008B6FF3" w:rsidP="00EA175D">
      <w:pPr>
        <w:tabs>
          <w:tab w:val="left" w:pos="851"/>
        </w:tabs>
        <w:spacing w:line="360" w:lineRule="auto"/>
        <w:ind w:firstLine="567"/>
        <w:jc w:val="both"/>
      </w:pPr>
      <w:r w:rsidRPr="00EA175D">
        <w:t>От представените до тук</w:t>
      </w:r>
      <w:r w:rsidR="00B2292D" w:rsidRPr="00EA175D">
        <w:t xml:space="preserve"> данн</w:t>
      </w:r>
      <w:r w:rsidR="00CA5DB2">
        <w:t>и</w:t>
      </w:r>
      <w:r w:rsidRPr="00EA175D">
        <w:t xml:space="preserve"> може да се заключи</w:t>
      </w:r>
      <w:r w:rsidR="00B2292D" w:rsidRPr="00EA175D">
        <w:t>, че процесът на изпълнение на стратегиите за ВОМР е динамичен и често е свързан с необходимостта от извършване на промени в текстовете на стратегиите. Същото се отнася и за промените в екипите, КУО и КВО на МИГ, които се извършват, за да се гарантира, че местната инициативна група, всички членове на колективния й управителен орган и представляващите по закон и пълномощие членове на колективния управителен орган на МИГ, включително и когато член e юридическо лице отговарят постоянно на изискванията на чл. 12, ал. 3 от Наредба № 22 от 2015 г.</w:t>
      </w:r>
      <w:r w:rsidRPr="00EA175D">
        <w:t xml:space="preserve"> Този процес е необходимо да се следи както от органите на МИГ, така и от УО на ПРСР 2014 – 2020 г. и когато е необходимо да бъдат взимани съответните управленски решения.</w:t>
      </w:r>
    </w:p>
    <w:p w14:paraId="15969C91" w14:textId="77777777" w:rsidR="00B2292D" w:rsidRPr="00EA175D" w:rsidRDefault="00B2292D" w:rsidP="00EA175D">
      <w:pPr>
        <w:tabs>
          <w:tab w:val="left" w:pos="851"/>
        </w:tabs>
        <w:spacing w:line="360" w:lineRule="auto"/>
        <w:ind w:firstLine="567"/>
        <w:jc w:val="both"/>
      </w:pPr>
    </w:p>
    <w:p w14:paraId="4E01161B" w14:textId="77777777" w:rsidR="00F46353" w:rsidRPr="00EA175D" w:rsidRDefault="00F46353" w:rsidP="00EA175D">
      <w:pPr>
        <w:pStyle w:val="1"/>
        <w:numPr>
          <w:ilvl w:val="1"/>
          <w:numId w:val="1"/>
        </w:numPr>
        <w:tabs>
          <w:tab w:val="left" w:pos="993"/>
        </w:tabs>
        <w:spacing w:line="360" w:lineRule="auto"/>
        <w:ind w:left="0" w:firstLine="567"/>
        <w:jc w:val="both"/>
        <w:rPr>
          <w:rFonts w:ascii="Times New Roman" w:hAnsi="Times New Roman" w:cs="Times New Roman"/>
          <w:color w:val="auto"/>
          <w:sz w:val="24"/>
          <w:szCs w:val="24"/>
        </w:rPr>
      </w:pPr>
      <w:bookmarkStart w:id="42" w:name="_Toc93489795"/>
      <w:r w:rsidRPr="00EA175D">
        <w:rPr>
          <w:rFonts w:ascii="Times New Roman" w:hAnsi="Times New Roman" w:cs="Times New Roman"/>
          <w:color w:val="auto"/>
          <w:sz w:val="24"/>
          <w:szCs w:val="24"/>
        </w:rPr>
        <w:lastRenderedPageBreak/>
        <w:t>Оценка на прилагането на подмярка 19.3 „Подготовка и изпълнение на дейности за сътрудничество на местни инициати</w:t>
      </w:r>
      <w:r w:rsidR="00961092" w:rsidRPr="00EA175D">
        <w:rPr>
          <w:rFonts w:ascii="Times New Roman" w:hAnsi="Times New Roman" w:cs="Times New Roman"/>
          <w:color w:val="auto"/>
          <w:sz w:val="24"/>
          <w:szCs w:val="24"/>
        </w:rPr>
        <w:t>вни групи“ от ПРСР 2014-2020 г.</w:t>
      </w:r>
      <w:bookmarkEnd w:id="42"/>
    </w:p>
    <w:p w14:paraId="1AB9E2D3" w14:textId="77777777" w:rsidR="00F43197" w:rsidRPr="00EA175D" w:rsidRDefault="00C3055C" w:rsidP="00EA175D">
      <w:pPr>
        <w:pStyle w:val="ab"/>
        <w:spacing w:line="360" w:lineRule="auto"/>
        <w:ind w:left="0" w:firstLine="567"/>
        <w:jc w:val="both"/>
      </w:pPr>
      <w:r w:rsidRPr="00EA175D">
        <w:t xml:space="preserve">Подмярка 19.3 „Подготовка и изпълнение на дейности за сътрудничество на местни инициативни групи“ </w:t>
      </w:r>
      <w:r w:rsidR="00F43197" w:rsidRPr="00EA175D">
        <w:t>от Програмата за развитие на селските райони 2014 – 2020 г. има за цел да осигури принос в развитието на съответните селски райони, чрез взаимодействие и реализиране на съвместни проекти. Партньори по тези проекти могат да бъдат други МИГ и местни инициативни рибарски групи от България и ЕС, както и подобен тип структури, изпълняващи стратегия за местно развитие от България, ЕС или трети страни.</w:t>
      </w:r>
    </w:p>
    <w:p w14:paraId="683F8A66" w14:textId="77777777" w:rsidR="00F43197" w:rsidRPr="00EA175D" w:rsidRDefault="00F43197" w:rsidP="00EA175D">
      <w:pPr>
        <w:pStyle w:val="ab"/>
        <w:spacing w:line="360" w:lineRule="auto"/>
        <w:ind w:left="0" w:firstLine="567"/>
        <w:jc w:val="both"/>
      </w:pPr>
      <w:r w:rsidRPr="00EA175D">
        <w:t xml:space="preserve">Целта </w:t>
      </w:r>
      <w:r w:rsidR="00D62E51" w:rsidRPr="00EA175D">
        <w:t xml:space="preserve">на подмярката </w:t>
      </w:r>
      <w:r w:rsidRPr="00EA175D">
        <w:t>е чрез съвместни дейности да се разработват съвместни продукти, да се популяризира подхода ВОМР, да се въвеждат иновации на съответните територии, да се подкрепя местната идентичност и да се работи за развитие на местните общности.</w:t>
      </w:r>
    </w:p>
    <w:p w14:paraId="68AD4B69" w14:textId="77777777" w:rsidR="00C3055C" w:rsidRPr="00EA175D" w:rsidRDefault="00F43197" w:rsidP="00EA175D">
      <w:pPr>
        <w:pStyle w:val="ab"/>
        <w:spacing w:line="360" w:lineRule="auto"/>
        <w:ind w:left="0" w:firstLine="567"/>
        <w:jc w:val="both"/>
      </w:pPr>
      <w:r w:rsidRPr="00EA175D">
        <w:t>По подмярката се подпомагат проекти за подготовка и реализация на вътрешнотериториално и транснационално сътрудничество.</w:t>
      </w:r>
      <w:r w:rsidR="00CB53E2" w:rsidRPr="00EA175D">
        <w:t xml:space="preserve"> Тя е </w:t>
      </w:r>
      <w:r w:rsidR="00C3055C" w:rsidRPr="00EA175D">
        <w:t>е разделена на две: „Подготвителни дейности за вътрешнотериториално и транснационално сътрудничество на местни инициативне групи“ и „Вътрешнотериториално и транснационално сътрудничество на местни инициативни групи“.</w:t>
      </w:r>
    </w:p>
    <w:p w14:paraId="5B32EB9C" w14:textId="77777777" w:rsidR="00C3055C" w:rsidRPr="00EA175D" w:rsidRDefault="00C3055C" w:rsidP="00EA175D">
      <w:pPr>
        <w:pStyle w:val="ab"/>
        <w:spacing w:line="360" w:lineRule="auto"/>
        <w:ind w:left="0" w:firstLine="567"/>
        <w:jc w:val="both"/>
      </w:pPr>
      <w:r w:rsidRPr="00EA175D">
        <w:t>Допустими кандидати за предоставяне на финансова помощ по подмярка 19.3 са местни инициативни групи (МИГ), които са сключили споразумение за изпълнение на стратегия за ВОМР по реда на ПМС № 161 от 2016 г. или на Наредба № 22 от 2015 г.</w:t>
      </w:r>
    </w:p>
    <w:p w14:paraId="4B85B229" w14:textId="77777777" w:rsidR="00C3055C" w:rsidRPr="00EA175D" w:rsidRDefault="00CB53E2" w:rsidP="00EA175D">
      <w:pPr>
        <w:pStyle w:val="ab"/>
        <w:spacing w:line="360" w:lineRule="auto"/>
        <w:ind w:left="0" w:firstLine="567"/>
        <w:jc w:val="both"/>
      </w:pPr>
      <w:r w:rsidRPr="00EA175D">
        <w:t xml:space="preserve">Същността на </w:t>
      </w:r>
      <w:r w:rsidR="00C3055C" w:rsidRPr="00EA175D">
        <w:t xml:space="preserve">прилагането на подмярката </w:t>
      </w:r>
      <w:r w:rsidR="00D62E51" w:rsidRPr="00EA175D">
        <w:t xml:space="preserve">в частта </w:t>
      </w:r>
      <w:r w:rsidR="00C3055C" w:rsidRPr="00EA175D">
        <w:t>„Подготвителни дейности за вътрешнотериториално и транснационално сътрудничество на местни инициативне групи“ се състои в подготовка и разработване на проекти за вътрешнотериториално и транснационално сътрудничество.</w:t>
      </w:r>
      <w:r w:rsidRPr="00EA175D">
        <w:t xml:space="preserve"> </w:t>
      </w:r>
      <w:r w:rsidR="00C3055C" w:rsidRPr="00EA175D">
        <w:t>Проектите целят развитието на териториите, на които се изпълняват стратегиите за ВОМР на МИГ, и съответстват на и допринася за постигане целите и приоритетите на стратегията за ВОМР на съответната МИГ и на ПРСР 2014- 2020 г.</w:t>
      </w:r>
    </w:p>
    <w:p w14:paraId="6310BDB6" w14:textId="77777777" w:rsidR="00C3055C" w:rsidRPr="00EA175D" w:rsidRDefault="00C3055C" w:rsidP="00EA175D">
      <w:pPr>
        <w:pStyle w:val="ab"/>
        <w:spacing w:line="360" w:lineRule="auto"/>
        <w:ind w:left="0" w:firstLine="567"/>
        <w:jc w:val="both"/>
      </w:pPr>
      <w:r w:rsidRPr="00EA175D">
        <w:lastRenderedPageBreak/>
        <w:t xml:space="preserve">Очакваните резултати от предоставянето на финансовата помощ от изпълнението на проектите за подготвителни дейности са: </w:t>
      </w:r>
    </w:p>
    <w:p w14:paraId="144AE1C3" w14:textId="77777777" w:rsidR="00C3055C" w:rsidRPr="00EA175D" w:rsidRDefault="00C3055C" w:rsidP="00EA175D">
      <w:pPr>
        <w:pStyle w:val="ab"/>
        <w:tabs>
          <w:tab w:val="left" w:pos="851"/>
        </w:tabs>
        <w:spacing w:line="360" w:lineRule="auto"/>
        <w:ind w:left="0" w:firstLine="567"/>
        <w:jc w:val="both"/>
      </w:pPr>
      <w:r w:rsidRPr="00EA175D">
        <w:t>1.</w:t>
      </w:r>
      <w:r w:rsidRPr="00EA175D">
        <w:tab/>
        <w:t>подписани споразумения за партньорство;</w:t>
      </w:r>
    </w:p>
    <w:p w14:paraId="17C3A5DF" w14:textId="77777777" w:rsidR="00C3055C" w:rsidRPr="00EA175D" w:rsidRDefault="00C3055C" w:rsidP="00EA175D">
      <w:pPr>
        <w:pStyle w:val="ab"/>
        <w:tabs>
          <w:tab w:val="left" w:pos="851"/>
        </w:tabs>
        <w:spacing w:line="360" w:lineRule="auto"/>
        <w:ind w:left="0" w:firstLine="567"/>
        <w:jc w:val="both"/>
      </w:pPr>
      <w:r w:rsidRPr="00EA175D">
        <w:t>2.</w:t>
      </w:r>
      <w:r w:rsidRPr="00EA175D">
        <w:tab/>
        <w:t>разработени проекти за вътрешнотериториално или за транснационално сътрудничество.</w:t>
      </w:r>
    </w:p>
    <w:p w14:paraId="47BF200C" w14:textId="77777777" w:rsidR="00C3055C" w:rsidRPr="00EA175D" w:rsidRDefault="00CB53E2" w:rsidP="00EA175D">
      <w:pPr>
        <w:pStyle w:val="ab"/>
        <w:spacing w:line="360" w:lineRule="auto"/>
        <w:ind w:left="0" w:firstLine="567"/>
        <w:jc w:val="both"/>
      </w:pPr>
      <w:r w:rsidRPr="00EA175D">
        <w:t>Същността на</w:t>
      </w:r>
      <w:r w:rsidR="00C3055C" w:rsidRPr="00EA175D">
        <w:t xml:space="preserve"> прилагането на </w:t>
      </w:r>
      <w:r w:rsidR="00D62E51" w:rsidRPr="00EA175D">
        <w:t xml:space="preserve">подмярката в частта </w:t>
      </w:r>
      <w:r w:rsidR="00C3055C" w:rsidRPr="00EA175D">
        <w:t>„Вътрешнотериториално и транснационално сътрудничество на местни инициативни групи“ се състои в:</w:t>
      </w:r>
    </w:p>
    <w:p w14:paraId="0A3D4381" w14:textId="77777777" w:rsidR="00C3055C" w:rsidRPr="00EA175D" w:rsidRDefault="00C3055C" w:rsidP="00EA175D">
      <w:pPr>
        <w:pStyle w:val="ab"/>
        <w:spacing w:line="360" w:lineRule="auto"/>
        <w:ind w:left="0" w:firstLine="567"/>
        <w:jc w:val="both"/>
      </w:pPr>
      <w:r w:rsidRPr="00EA175D">
        <w:t>1. осъществяване на съвместни дейности, допринасящи за устойчивото развитие на местните общности и подпомагащи постигането на целите на стратегиите за ВОМР и на ПРСР 2014 – 2020 г. като обучения, изграждане на капацитет, споделяне на опит, обмен на ноу-хау и стимулиране въвеждането на иновативни дейности на местно ниво;</w:t>
      </w:r>
    </w:p>
    <w:p w14:paraId="6B5368DA" w14:textId="77777777" w:rsidR="00C3055C" w:rsidRPr="00EA175D" w:rsidRDefault="00C3055C" w:rsidP="00EA175D">
      <w:pPr>
        <w:pStyle w:val="ab"/>
        <w:spacing w:line="360" w:lineRule="auto"/>
        <w:ind w:left="0" w:firstLine="567"/>
        <w:jc w:val="both"/>
      </w:pPr>
      <w:r w:rsidRPr="00EA175D">
        <w:t>2. създаване на европейска идентичност в допълнение към местната, регионалната и националната идентичност;</w:t>
      </w:r>
    </w:p>
    <w:p w14:paraId="79EA6DDA" w14:textId="77777777" w:rsidR="00C3055C" w:rsidRPr="00EA175D" w:rsidRDefault="00C3055C" w:rsidP="00EA175D">
      <w:pPr>
        <w:pStyle w:val="ab"/>
        <w:spacing w:line="360" w:lineRule="auto"/>
        <w:ind w:left="0" w:firstLine="567"/>
        <w:jc w:val="both"/>
      </w:pPr>
      <w:r w:rsidRPr="00EA175D">
        <w:t>3. подкрепа за промотиране на характерни за местните територии и общности продукти, марки, дейности, забележителности и др.</w:t>
      </w:r>
    </w:p>
    <w:p w14:paraId="31852B5F" w14:textId="77777777" w:rsidR="00C3055C" w:rsidRPr="00EA175D" w:rsidRDefault="00C3055C" w:rsidP="00EA175D">
      <w:pPr>
        <w:pStyle w:val="ab"/>
        <w:spacing w:line="360" w:lineRule="auto"/>
        <w:ind w:left="0" w:firstLine="567"/>
        <w:jc w:val="both"/>
      </w:pPr>
      <w:r w:rsidRPr="00EA175D">
        <w:t>Проектите трябва да целят развитието на териториите, на които се изпълняват стратегиите за ВОМР на МИГ, и да съответстват на и да допринасят за постигане целите и приоритетите на стратегията/ите за ВОМР на съответната/ите МИГ и на ПРСР 2014- 2020 г.</w:t>
      </w:r>
    </w:p>
    <w:p w14:paraId="5CDDB9FF" w14:textId="77777777" w:rsidR="00C3055C" w:rsidRPr="00EA175D" w:rsidRDefault="00C3055C" w:rsidP="00EA175D">
      <w:pPr>
        <w:pStyle w:val="ab"/>
        <w:spacing w:line="360" w:lineRule="auto"/>
        <w:ind w:left="0" w:firstLine="567"/>
        <w:jc w:val="both"/>
      </w:pPr>
      <w:r w:rsidRPr="00EA175D">
        <w:t>Очакваните резултати от предоставянето на финансовата помощ от изпълнението на проектите за сътрудничество са:</w:t>
      </w:r>
    </w:p>
    <w:p w14:paraId="41354759" w14:textId="77777777" w:rsidR="00C3055C" w:rsidRPr="00EA175D" w:rsidRDefault="00C3055C" w:rsidP="00EA175D">
      <w:pPr>
        <w:pStyle w:val="ab"/>
        <w:tabs>
          <w:tab w:val="left" w:pos="851"/>
        </w:tabs>
        <w:spacing w:line="360" w:lineRule="auto"/>
        <w:ind w:left="0" w:firstLine="567"/>
        <w:jc w:val="both"/>
      </w:pPr>
      <w:r w:rsidRPr="00EA175D">
        <w:t>1.</w:t>
      </w:r>
      <w:r w:rsidRPr="00EA175D">
        <w:tab/>
        <w:t>разработени съвместени продукти/услуги, придобити активи, извършени строително-монтажни работи или строително-ремонтни работи на територията на партньорите от Република България;</w:t>
      </w:r>
    </w:p>
    <w:p w14:paraId="33FF07C3" w14:textId="77777777" w:rsidR="00C3055C" w:rsidRPr="00EA175D" w:rsidRDefault="00C3055C" w:rsidP="00EA175D">
      <w:pPr>
        <w:pStyle w:val="ab"/>
        <w:tabs>
          <w:tab w:val="left" w:pos="851"/>
        </w:tabs>
        <w:spacing w:line="360" w:lineRule="auto"/>
        <w:ind w:left="0" w:firstLine="567"/>
        <w:jc w:val="both"/>
      </w:pPr>
      <w:r w:rsidRPr="00EA175D">
        <w:t>2.</w:t>
      </w:r>
      <w:r w:rsidRPr="00EA175D">
        <w:tab/>
        <w:t>проведени изследвания и пазарни проучвания, директно свързани със съвместния продукт/услуга;</w:t>
      </w:r>
    </w:p>
    <w:p w14:paraId="59D982EE" w14:textId="77777777" w:rsidR="00C3055C" w:rsidRPr="00EA175D" w:rsidRDefault="00C3055C" w:rsidP="00EA175D">
      <w:pPr>
        <w:pStyle w:val="ab"/>
        <w:tabs>
          <w:tab w:val="left" w:pos="851"/>
        </w:tabs>
        <w:spacing w:line="360" w:lineRule="auto"/>
        <w:ind w:left="0" w:firstLine="567"/>
        <w:jc w:val="both"/>
      </w:pPr>
      <w:r w:rsidRPr="00EA175D">
        <w:t>3.</w:t>
      </w:r>
      <w:r w:rsidRPr="00EA175D">
        <w:tab/>
        <w:t>реализирани промоционални или маркетингови кампании;</w:t>
      </w:r>
    </w:p>
    <w:p w14:paraId="0880BC0E" w14:textId="77777777" w:rsidR="00C3055C" w:rsidRPr="00EA175D" w:rsidRDefault="00C3055C" w:rsidP="00EA175D">
      <w:pPr>
        <w:pStyle w:val="ab"/>
        <w:tabs>
          <w:tab w:val="left" w:pos="851"/>
        </w:tabs>
        <w:spacing w:line="360" w:lineRule="auto"/>
        <w:ind w:left="0" w:firstLine="567"/>
        <w:jc w:val="both"/>
      </w:pPr>
      <w:r w:rsidRPr="00EA175D">
        <w:t>4.</w:t>
      </w:r>
      <w:r w:rsidRPr="00EA175D">
        <w:tab/>
        <w:t xml:space="preserve"> изграден капацитет, споделен опит и ноу-хау.</w:t>
      </w:r>
    </w:p>
    <w:p w14:paraId="4DBB2586" w14:textId="77777777" w:rsidR="00C3055C" w:rsidRPr="00EA175D" w:rsidRDefault="00C3055C" w:rsidP="00EA175D">
      <w:pPr>
        <w:pStyle w:val="ab"/>
        <w:spacing w:line="360" w:lineRule="auto"/>
        <w:ind w:left="0" w:firstLine="567"/>
        <w:jc w:val="both"/>
      </w:pPr>
      <w:r w:rsidRPr="00EA175D">
        <w:lastRenderedPageBreak/>
        <w:t xml:space="preserve">Общият бюджет на подмярка 19.3 „Подготовка и изпълнение на дейности за сътрудничество на местни инициативни групи съгласно ПРСР 2014 – 2020 г. е 6 500 000 евро или 12 712 700 лева. </w:t>
      </w:r>
    </w:p>
    <w:p w14:paraId="1F9B679D" w14:textId="77777777" w:rsidR="00C3055C" w:rsidRPr="00EA175D" w:rsidRDefault="00C3055C" w:rsidP="00EA175D">
      <w:pPr>
        <w:pStyle w:val="ab"/>
        <w:spacing w:line="360" w:lineRule="auto"/>
        <w:ind w:left="0" w:firstLine="567"/>
        <w:jc w:val="both"/>
      </w:pPr>
      <w:r w:rsidRPr="00EA175D">
        <w:t xml:space="preserve">Съгласно условията на чл. 44 от Регламент 1305/2013 на ЕС, УО на ПРСР 2014 – 2020 </w:t>
      </w:r>
      <w:r w:rsidR="00D62E51" w:rsidRPr="00EA175D">
        <w:t xml:space="preserve">г. </w:t>
      </w:r>
      <w:r w:rsidRPr="00EA175D">
        <w:t>е осигурил текущ прием по подмярка 19.3. В тази връзка</w:t>
      </w:r>
      <w:r w:rsidR="00D62E51" w:rsidRPr="00EA175D">
        <w:t>,</w:t>
      </w:r>
      <w:r w:rsidRPr="00EA175D">
        <w:t xml:space="preserve"> </w:t>
      </w:r>
      <w:r w:rsidR="00D62E51" w:rsidRPr="00EA175D">
        <w:t xml:space="preserve">в ИСУН 2020, </w:t>
      </w:r>
      <w:r w:rsidRPr="00EA175D">
        <w:t xml:space="preserve">са обявени две процедури </w:t>
      </w:r>
      <w:r w:rsidR="00441061" w:rsidRPr="00EA175D">
        <w:t xml:space="preserve">за прием на проектни предложения – </w:t>
      </w:r>
      <w:r w:rsidRPr="00EA175D">
        <w:t>BG06RDNP001-19.083 „Подбор на проектни предложения за вътрешнотериториално и транснационално сътрудничество по подмярка 19.3“ и BG06RDNP001-19.085 „Подбор на проектни предложения за подготвителни дейности за вътрешнотериториално и транснационално сътрудничество по подмярка 19.3“ от 1 август 2018 г. с краен срок за подаване на проектни предложения последният ден до 24:00 часа на всеки втори календарен месец след 31 август 2018 г. до 31 декември 2019 г.</w:t>
      </w:r>
    </w:p>
    <w:p w14:paraId="27E2B506" w14:textId="77777777" w:rsidR="00C3055C" w:rsidRPr="00EA175D" w:rsidRDefault="00C3055C" w:rsidP="00EA175D">
      <w:pPr>
        <w:pStyle w:val="ab"/>
        <w:spacing w:line="360" w:lineRule="auto"/>
        <w:ind w:left="0" w:firstLine="567"/>
        <w:jc w:val="both"/>
      </w:pPr>
      <w:r w:rsidRPr="00EA175D">
        <w:t xml:space="preserve">Размерът на средствата, с които е обявена процедура </w:t>
      </w:r>
      <w:r w:rsidR="00441061" w:rsidRPr="00EA175D">
        <w:t xml:space="preserve">за прием на проектни предложения </w:t>
      </w:r>
      <w:r w:rsidRPr="00EA175D">
        <w:t xml:space="preserve">BG06RDNP001-19.085 е 1 955 800 лева. По процедурата УО на ПРСР е провел 6 оценителни сесии, в които са подадени общо до 31.12.2019 г. 21 проектни предложения, от тях одобрени са </w:t>
      </w:r>
      <w:r w:rsidR="00DE4546" w:rsidRPr="00F77584">
        <w:rPr>
          <w:lang w:val="ru-RU"/>
        </w:rPr>
        <w:t>19</w:t>
      </w:r>
      <w:r w:rsidRPr="00EA175D">
        <w:t>, отхвърлени няма и оттеглен</w:t>
      </w:r>
      <w:r w:rsidR="00DE4546" w:rsidRPr="00EA175D">
        <w:t>и</w:t>
      </w:r>
      <w:r w:rsidRPr="00EA175D">
        <w:t xml:space="preserve"> </w:t>
      </w:r>
      <w:r w:rsidR="00DE4546" w:rsidRPr="00EA175D">
        <w:t>са</w:t>
      </w:r>
      <w:r w:rsidRPr="00EA175D">
        <w:t xml:space="preserve"> </w:t>
      </w:r>
      <w:r w:rsidR="00DE4546" w:rsidRPr="00EA175D">
        <w:t>две</w:t>
      </w:r>
      <w:r w:rsidRPr="00EA175D">
        <w:t xml:space="preserve"> проектн</w:t>
      </w:r>
      <w:r w:rsidR="007724A5" w:rsidRPr="00EA175D">
        <w:t>и</w:t>
      </w:r>
      <w:r w:rsidRPr="00EA175D">
        <w:t xml:space="preserve"> предложение. По процедурата са договорени проектни предложения на обща стойност</w:t>
      </w:r>
      <w:r w:rsidRPr="00F77584">
        <w:rPr>
          <w:lang w:val="ru-RU"/>
        </w:rPr>
        <w:t xml:space="preserve"> </w:t>
      </w:r>
      <w:r w:rsidRPr="00EA175D">
        <w:t>862 184,64 лева.</w:t>
      </w:r>
    </w:p>
    <w:p w14:paraId="3F47697E" w14:textId="77777777" w:rsidR="00C3055C" w:rsidRPr="00EA175D" w:rsidRDefault="00C3055C" w:rsidP="00EA175D">
      <w:pPr>
        <w:pStyle w:val="ab"/>
        <w:spacing w:line="360" w:lineRule="auto"/>
        <w:ind w:left="0" w:firstLine="567"/>
        <w:jc w:val="both"/>
      </w:pPr>
      <w:r w:rsidRPr="00EA175D">
        <w:t xml:space="preserve">Размерът на средствата, с които е обявена процедура </w:t>
      </w:r>
      <w:r w:rsidR="00441061" w:rsidRPr="00EA175D">
        <w:t xml:space="preserve">за прием на проектни предложения </w:t>
      </w:r>
      <w:r w:rsidRPr="00EA175D">
        <w:t xml:space="preserve">BG06RDNP001-19.083 е 2 000 000 лева. По процедурата УО на ПРСР </w:t>
      </w:r>
      <w:r w:rsidR="00441061" w:rsidRPr="00EA175D">
        <w:t xml:space="preserve">2014 – 2020 г. </w:t>
      </w:r>
      <w:r w:rsidRPr="00EA175D">
        <w:t>е провел три оценителни сесии, като са подадени общо до 31.12.2019 г. 5 проектни предложения, от тях одобрени са 2, отхвърлени няма и са оттеглени 3 проектни предложения. По процедурата са договорени проектни предложения на обща стойност 309 737,11 лева.</w:t>
      </w:r>
    </w:p>
    <w:p w14:paraId="31A6D719" w14:textId="77777777" w:rsidR="00C3055C" w:rsidRPr="00EA175D" w:rsidRDefault="00441061" w:rsidP="00EA175D">
      <w:pPr>
        <w:pStyle w:val="ab"/>
        <w:spacing w:line="360" w:lineRule="auto"/>
        <w:ind w:left="0" w:firstLine="567"/>
        <w:jc w:val="both"/>
      </w:pPr>
      <w:r w:rsidRPr="00EA175D">
        <w:t>От</w:t>
      </w:r>
      <w:r w:rsidR="00C3055C" w:rsidRPr="00EA175D">
        <w:t xml:space="preserve"> 01.06.2020 г. </w:t>
      </w:r>
      <w:r w:rsidRPr="00EA175D">
        <w:t xml:space="preserve">от страна на УО на ПРСР 2014 – 2020 г. </w:t>
      </w:r>
      <w:r w:rsidR="00C3055C" w:rsidRPr="00EA175D">
        <w:t xml:space="preserve">са обявени нови две процедури </w:t>
      </w:r>
      <w:r w:rsidRPr="00EA175D">
        <w:t xml:space="preserve">за прием на проектни предложения – </w:t>
      </w:r>
      <w:r w:rsidR="00C3055C" w:rsidRPr="00EA175D">
        <w:t xml:space="preserve">BG06RDNP001-19.354 „Подбор на проектни предложения за подготвителни дейности за вътрешнотериториално и транснационално сътрудничество по подмярка 19.3“ и BG06RDNP001-19.355 „Подбор на проектни предложения за вътрешнотериториално и транснационално сътрудничество по </w:t>
      </w:r>
      <w:r w:rsidR="00C3055C" w:rsidRPr="00EA175D">
        <w:lastRenderedPageBreak/>
        <w:t xml:space="preserve">подмярка 19.3“, като крайният срок за подаване на проектни предложения е последният ден до 17:00 часа на всеки втори календарен месец след 30 юни 2020 г. до 31 декември 2021 г. Тез процедури са активни и към момента на изготвяне на </w:t>
      </w:r>
      <w:r w:rsidRPr="00EA175D">
        <w:t xml:space="preserve">настоящия </w:t>
      </w:r>
      <w:r w:rsidR="00C3055C" w:rsidRPr="00EA175D">
        <w:t>доклад за оценка</w:t>
      </w:r>
      <w:r w:rsidRPr="00EA175D">
        <w:t xml:space="preserve"> на прилагането на подхода ВОМР</w:t>
      </w:r>
      <w:r w:rsidR="00C3055C" w:rsidRPr="00EA175D">
        <w:t xml:space="preserve">. </w:t>
      </w:r>
    </w:p>
    <w:p w14:paraId="6896A921" w14:textId="77777777" w:rsidR="00C3055C" w:rsidRPr="00EA175D" w:rsidRDefault="00C3055C" w:rsidP="00EA175D">
      <w:pPr>
        <w:pStyle w:val="ab"/>
        <w:spacing w:line="360" w:lineRule="auto"/>
        <w:ind w:left="0" w:firstLine="567"/>
        <w:jc w:val="both"/>
      </w:pPr>
      <w:r w:rsidRPr="00EA175D">
        <w:t xml:space="preserve">Размерът на средствата, с които е обявена процедура </w:t>
      </w:r>
      <w:r w:rsidR="00710028" w:rsidRPr="00EA175D">
        <w:t xml:space="preserve">за прием на проекти </w:t>
      </w:r>
      <w:r w:rsidRPr="00EA175D">
        <w:t>BG06RDNP001-19.354 е 933 700</w:t>
      </w:r>
      <w:r w:rsidRPr="00F77584">
        <w:rPr>
          <w:lang w:val="ru-RU"/>
        </w:rPr>
        <w:t xml:space="preserve"> </w:t>
      </w:r>
      <w:r w:rsidRPr="00EA175D">
        <w:t xml:space="preserve">лева. По процедурата до 30.09.2021 г. УО на ПРСР </w:t>
      </w:r>
      <w:r w:rsidR="000B4226" w:rsidRPr="00EA175D">
        <w:t xml:space="preserve">2014 – 2020 г. </w:t>
      </w:r>
      <w:r w:rsidRPr="00EA175D">
        <w:t>е провел четири оценителни сесии и са подадени общо 6 проектни предложения, от тях одобрени са 6, няма отхвърлени и оттеглени проектни предложения. По процедурата са договорени проектни предложения на обща стойност</w:t>
      </w:r>
      <w:r w:rsidRPr="00F77584">
        <w:rPr>
          <w:lang w:val="ru-RU"/>
        </w:rPr>
        <w:t xml:space="preserve"> </w:t>
      </w:r>
      <w:r w:rsidRPr="00EA175D">
        <w:t>240 236,89 лева.</w:t>
      </w:r>
    </w:p>
    <w:p w14:paraId="76E34907" w14:textId="77777777" w:rsidR="00C3055C" w:rsidRPr="00EA175D" w:rsidRDefault="00C3055C" w:rsidP="00EA175D">
      <w:pPr>
        <w:pStyle w:val="ab"/>
        <w:spacing w:line="360" w:lineRule="auto"/>
        <w:ind w:left="0" w:firstLine="567"/>
        <w:jc w:val="both"/>
      </w:pPr>
      <w:r w:rsidRPr="00EA175D">
        <w:t xml:space="preserve">Размерът на средствата, с които е обявена процедура </w:t>
      </w:r>
      <w:r w:rsidR="00710028" w:rsidRPr="00EA175D">
        <w:t xml:space="preserve">за прием на проектни предложения </w:t>
      </w:r>
      <w:r w:rsidRPr="00EA175D">
        <w:t>BG06RDNP001-19.355 е 7 823 200 лева. По процедурата до 30.09.2021 г. УО на ПРСР приключил 6 оценителни сесии и са подадени общо 1</w:t>
      </w:r>
      <w:r w:rsidR="007724A5" w:rsidRPr="00EA175D">
        <w:t>3</w:t>
      </w:r>
      <w:r w:rsidRPr="00EA175D">
        <w:t xml:space="preserve"> проектни предложения, от тях одобрени са 11, отхвърлени няма и оттеглено е едно проектно предложение</w:t>
      </w:r>
      <w:r w:rsidR="007724A5" w:rsidRPr="00EA175D">
        <w:t xml:space="preserve"> и едно проектно предложение е в процес на оценка</w:t>
      </w:r>
      <w:r w:rsidRPr="00EA175D">
        <w:t>. По процедурата са договорени проектни предложения на обща стойност 2 380 896,43 лева.</w:t>
      </w:r>
    </w:p>
    <w:p w14:paraId="08757CEB" w14:textId="77777777" w:rsidR="003F0367" w:rsidRPr="00EA175D" w:rsidRDefault="003F0367" w:rsidP="00EA175D">
      <w:pPr>
        <w:pStyle w:val="ab"/>
        <w:spacing w:line="360" w:lineRule="auto"/>
        <w:ind w:left="0" w:firstLine="567"/>
        <w:jc w:val="both"/>
      </w:pPr>
      <w:r w:rsidRPr="00EA175D">
        <w:t>Графика. Бюджети на откритите от УО на ПРСР 2014 – 2020 г. приеми по подмярка 19.3.</w:t>
      </w:r>
    </w:p>
    <w:p w14:paraId="1E460217" w14:textId="77777777" w:rsidR="003F0367" w:rsidRPr="00EA175D" w:rsidRDefault="00A36E96" w:rsidP="00EA175D">
      <w:pPr>
        <w:pStyle w:val="ab"/>
        <w:spacing w:line="360" w:lineRule="auto"/>
        <w:ind w:left="0" w:firstLine="567"/>
        <w:jc w:val="both"/>
      </w:pPr>
      <w:r w:rsidRPr="00EA175D">
        <w:rPr>
          <w:lang w:val="it-IT" w:eastAsia="it-IT"/>
        </w:rPr>
        <w:drawing>
          <wp:inline distT="0" distB="0" distL="0" distR="0" wp14:anchorId="140C21AE" wp14:editId="3074DE10">
            <wp:extent cx="4572000" cy="2743200"/>
            <wp:effectExtent l="0" t="0" r="19050" b="1905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7ECAE11A" w14:textId="77777777" w:rsidR="003F0367" w:rsidRPr="00EA175D" w:rsidRDefault="003F0367" w:rsidP="00EA175D">
      <w:pPr>
        <w:pStyle w:val="ab"/>
        <w:spacing w:line="360" w:lineRule="auto"/>
        <w:ind w:left="0" w:firstLine="567"/>
        <w:jc w:val="both"/>
      </w:pPr>
    </w:p>
    <w:p w14:paraId="482A9DDA" w14:textId="77777777" w:rsidR="003F0367" w:rsidRPr="00EA175D" w:rsidRDefault="00EC4527" w:rsidP="00EA175D">
      <w:pPr>
        <w:pStyle w:val="ab"/>
        <w:spacing w:line="360" w:lineRule="auto"/>
        <w:ind w:left="0" w:firstLine="567"/>
        <w:jc w:val="both"/>
      </w:pPr>
      <w:r w:rsidRPr="00EA175D">
        <w:lastRenderedPageBreak/>
        <w:t>На горната фигура са показани бюджетите на откритите от УО на ПРСР 2014 – 2020 г. приеми на проектни предложения по подмярка 19.3, като в червен цвят са приемите за подготвителни дейности (22% от общия бюджет на подмярката), а в оранжев – тези за сътрудничество (78% от общия бюджет на подмярката).</w:t>
      </w:r>
    </w:p>
    <w:p w14:paraId="25F69455" w14:textId="64BAA9BF" w:rsidR="00C3055C" w:rsidRPr="00EA175D" w:rsidRDefault="00C3055C" w:rsidP="00EA175D">
      <w:pPr>
        <w:pStyle w:val="ab"/>
        <w:spacing w:line="360" w:lineRule="auto"/>
        <w:ind w:left="0" w:firstLine="567"/>
        <w:jc w:val="both"/>
      </w:pPr>
      <w:r w:rsidRPr="00EA175D">
        <w:t>Общият размер на средствата за проектни предложения за „Подготвителни дейности за вътрешнотериториално и транснационално сътрудничество на местни инициативн</w:t>
      </w:r>
      <w:r w:rsidR="00DE4CDE">
        <w:t>и</w:t>
      </w:r>
      <w:r w:rsidRPr="00EA175D">
        <w:t xml:space="preserve"> групи“ по подмярка 19.3 е 2 889 500 лева и от тях до 30.09.2021 г. са договорени 2</w:t>
      </w:r>
      <w:r w:rsidR="00DE4546" w:rsidRPr="00F77584">
        <w:rPr>
          <w:lang w:val="ru-RU"/>
        </w:rPr>
        <w:t>5</w:t>
      </w:r>
      <w:r w:rsidRPr="00EA175D">
        <w:t xml:space="preserve"> проектни предложения на обща стойност 1 102 421,53 лева, което представлява</w:t>
      </w:r>
      <w:r w:rsidRPr="00F77584">
        <w:rPr>
          <w:lang w:val="ru-RU"/>
        </w:rPr>
        <w:t xml:space="preserve"> 38</w:t>
      </w:r>
      <w:r w:rsidRPr="00EA175D">
        <w:t>,</w:t>
      </w:r>
      <w:r w:rsidRPr="00F77584">
        <w:rPr>
          <w:lang w:val="ru-RU"/>
        </w:rPr>
        <w:t>15</w:t>
      </w:r>
      <w:r w:rsidRPr="00EA175D">
        <w:t xml:space="preserve">% от общия размер на средствата за подготвителни проектни предложения. </w:t>
      </w:r>
    </w:p>
    <w:p w14:paraId="7FA53613" w14:textId="77777777" w:rsidR="00C3055C" w:rsidRPr="00EA175D" w:rsidRDefault="00C3055C" w:rsidP="00EA175D">
      <w:pPr>
        <w:pStyle w:val="ab"/>
        <w:spacing w:line="360" w:lineRule="auto"/>
        <w:ind w:left="0" w:firstLine="567"/>
        <w:jc w:val="both"/>
      </w:pPr>
      <w:r w:rsidRPr="00EA175D">
        <w:t xml:space="preserve">Общият размер на средствата за проектни предложения за „Вътрешнотериториално и транснационално сътрудничество на местни инициативни групи“ по подмярка 19.3 е 9 823 200 лева и от тях до 30.09.2021 г. са договорени 13 проектни предложения на обща стойност 2 690 633,54 лева, което представлява 27,39 % от общия размер на средствата за вътрешнотериториално и транснационално сътрудничество. </w:t>
      </w:r>
    </w:p>
    <w:p w14:paraId="001875C3" w14:textId="77777777" w:rsidR="00C3055C" w:rsidRPr="00EA175D" w:rsidRDefault="00C3055C" w:rsidP="00EA175D">
      <w:pPr>
        <w:pStyle w:val="ab"/>
        <w:spacing w:line="360" w:lineRule="auto"/>
        <w:ind w:left="0" w:firstLine="567"/>
        <w:jc w:val="both"/>
      </w:pPr>
      <w:r w:rsidRPr="00EA175D">
        <w:t xml:space="preserve">По подмярка 19.3„Подготовка и изпълнение на дейности за сътрудничество на местни инициативни групи“ общо са договорени </w:t>
      </w:r>
      <w:r w:rsidR="00536E2C" w:rsidRPr="00EA175D">
        <w:t xml:space="preserve">общо </w:t>
      </w:r>
      <w:r w:rsidRPr="00EA175D">
        <w:t>3 793 055,07 лева или 29,84% от целия бюджет по подмярката.</w:t>
      </w:r>
    </w:p>
    <w:p w14:paraId="456A5AE2" w14:textId="77777777" w:rsidR="009E684D" w:rsidRPr="00EA175D" w:rsidRDefault="009E684D" w:rsidP="00EA175D">
      <w:pPr>
        <w:pStyle w:val="ab"/>
        <w:spacing w:line="360" w:lineRule="auto"/>
        <w:ind w:left="0" w:firstLine="567"/>
        <w:jc w:val="both"/>
      </w:pPr>
      <w:r w:rsidRPr="00EA175D">
        <w:t>Графика. Договорени и недоговорени средства по подмярка 19.3 към 30.09.2021 г.</w:t>
      </w:r>
    </w:p>
    <w:p w14:paraId="1C2D6DEA" w14:textId="77777777" w:rsidR="009E684D" w:rsidRPr="00EA175D" w:rsidRDefault="00AD06A2" w:rsidP="00EA175D">
      <w:pPr>
        <w:pStyle w:val="ab"/>
        <w:spacing w:line="360" w:lineRule="auto"/>
        <w:ind w:left="0" w:firstLine="567"/>
        <w:jc w:val="both"/>
      </w:pPr>
      <w:r w:rsidRPr="00EA175D">
        <w:rPr>
          <w:lang w:val="it-IT" w:eastAsia="it-IT"/>
        </w:rPr>
        <w:lastRenderedPageBreak/>
        <w:drawing>
          <wp:inline distT="0" distB="0" distL="0" distR="0" wp14:anchorId="0E77DB17" wp14:editId="271CBB94">
            <wp:extent cx="4991100" cy="2857500"/>
            <wp:effectExtent l="0" t="0" r="19050" b="1905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15DE7B02" w14:textId="77777777" w:rsidR="009E684D" w:rsidRPr="00EA175D" w:rsidRDefault="009E684D" w:rsidP="00EA175D">
      <w:pPr>
        <w:pStyle w:val="ab"/>
        <w:spacing w:line="360" w:lineRule="auto"/>
        <w:ind w:left="0" w:firstLine="567"/>
        <w:jc w:val="both"/>
      </w:pPr>
    </w:p>
    <w:p w14:paraId="1321BCC4" w14:textId="77777777" w:rsidR="00536E2C" w:rsidRPr="00EA175D" w:rsidRDefault="00536E2C" w:rsidP="00EA175D">
      <w:pPr>
        <w:pStyle w:val="ab"/>
        <w:spacing w:line="360" w:lineRule="auto"/>
        <w:ind w:left="0" w:firstLine="567"/>
        <w:jc w:val="both"/>
      </w:pPr>
      <w:r w:rsidRPr="00EA175D">
        <w:t>Общият размер на договорените по подмярка 19.3 средства е 4 895 476,60 лв., което представлява 38,51% от общия разполагаем бюджет по подмярката.</w:t>
      </w:r>
    </w:p>
    <w:p w14:paraId="10537828" w14:textId="77777777" w:rsidR="00714482" w:rsidRPr="00EA175D" w:rsidRDefault="00536E2C" w:rsidP="00EA175D">
      <w:pPr>
        <w:pStyle w:val="ab"/>
        <w:spacing w:line="360" w:lineRule="auto"/>
        <w:ind w:left="0" w:firstLine="567"/>
        <w:jc w:val="both"/>
      </w:pPr>
      <w:r w:rsidRPr="00EA175D">
        <w:t xml:space="preserve">Общият размер на възстановените от ДФЗ средства по подярка 19.3 е 854 782,83 лева, което представлява </w:t>
      </w:r>
      <w:r w:rsidR="00A7607E" w:rsidRPr="00EA175D">
        <w:t xml:space="preserve">6,72% от общия бюджет на мярката и 17,46% от договорените по подмярката средства. </w:t>
      </w:r>
    </w:p>
    <w:p w14:paraId="6D355EE9" w14:textId="77777777" w:rsidR="00714482" w:rsidRPr="00EA175D" w:rsidRDefault="0040675A" w:rsidP="00EA175D">
      <w:pPr>
        <w:pStyle w:val="ab"/>
        <w:spacing w:line="360" w:lineRule="auto"/>
        <w:ind w:left="0" w:firstLine="567"/>
        <w:jc w:val="both"/>
      </w:pPr>
      <w:r w:rsidRPr="00EA175D">
        <w:t>Графика. Договорени и изплатени средства по подмярка 19.3.</w:t>
      </w:r>
    </w:p>
    <w:p w14:paraId="3386FC51" w14:textId="77777777" w:rsidR="0040675A" w:rsidRPr="00EA175D" w:rsidRDefault="0040675A" w:rsidP="00EA175D">
      <w:pPr>
        <w:pStyle w:val="ab"/>
        <w:spacing w:line="360" w:lineRule="auto"/>
        <w:ind w:left="0" w:firstLine="567"/>
        <w:jc w:val="both"/>
        <w:rPr>
          <w:lang w:val="en-GB"/>
        </w:rPr>
      </w:pPr>
      <w:r w:rsidRPr="00EA175D">
        <w:rPr>
          <w:lang w:val="it-IT" w:eastAsia="it-IT"/>
        </w:rPr>
        <w:drawing>
          <wp:inline distT="0" distB="0" distL="0" distR="0" wp14:anchorId="1454D56A" wp14:editId="158C0346">
            <wp:extent cx="4572000" cy="2743200"/>
            <wp:effectExtent l="0" t="0" r="19050" b="1905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5C8A8A03" w14:textId="77777777" w:rsidR="0040675A" w:rsidRPr="00EA175D" w:rsidRDefault="0040675A" w:rsidP="00EA175D">
      <w:pPr>
        <w:pStyle w:val="ab"/>
        <w:spacing w:line="360" w:lineRule="auto"/>
        <w:ind w:left="0" w:firstLine="567"/>
        <w:jc w:val="both"/>
      </w:pPr>
    </w:p>
    <w:p w14:paraId="49DD8615" w14:textId="479DC005" w:rsidR="00C3055C" w:rsidRPr="00EA175D" w:rsidRDefault="00086D03" w:rsidP="00EA175D">
      <w:pPr>
        <w:pStyle w:val="ab"/>
        <w:spacing w:line="360" w:lineRule="auto"/>
        <w:ind w:left="0" w:firstLine="567"/>
        <w:jc w:val="both"/>
      </w:pPr>
      <w:r w:rsidRPr="00EA175D">
        <w:t xml:space="preserve">Представените </w:t>
      </w:r>
      <w:r w:rsidR="00C3055C" w:rsidRPr="00EA175D">
        <w:t>данни показват, че МИГ проявяват интерес към подмярката за подготовка и изпълнение на дейности за сътрудничество</w:t>
      </w:r>
      <w:r w:rsidRPr="00EA175D">
        <w:t xml:space="preserve">. За това говори броят на сключени договори </w:t>
      </w:r>
      <w:r w:rsidR="009E1649" w:rsidRPr="00F77584">
        <w:rPr>
          <w:lang w:val="ru-RU"/>
        </w:rPr>
        <w:t xml:space="preserve">– </w:t>
      </w:r>
      <w:r w:rsidR="009E1649" w:rsidRPr="00EA175D">
        <w:t xml:space="preserve">общо 39, от които 13 за сътрудничество и 26 за подготвителни дейности. Видно е, че </w:t>
      </w:r>
      <w:r w:rsidR="00C3055C" w:rsidRPr="00EA175D">
        <w:t>по-големия</w:t>
      </w:r>
      <w:r w:rsidR="009E1649" w:rsidRPr="00EA175D">
        <w:t>т</w:t>
      </w:r>
      <w:r w:rsidR="00C3055C" w:rsidRPr="00EA175D">
        <w:t xml:space="preserve"> интерес е </w:t>
      </w:r>
      <w:r w:rsidR="009E1649" w:rsidRPr="00EA175D">
        <w:t>към проектните предложения за</w:t>
      </w:r>
      <w:r w:rsidR="00C3055C" w:rsidRPr="00EA175D">
        <w:t xml:space="preserve"> подготвителни дейности за сътрудничество и то за подготвителни дейности за транснационално сътрудничество.</w:t>
      </w:r>
      <w:r w:rsidR="00C3055C" w:rsidRPr="00F77584">
        <w:rPr>
          <w:lang w:val="ru-RU"/>
        </w:rPr>
        <w:t xml:space="preserve"> </w:t>
      </w:r>
      <w:r w:rsidR="00C3055C" w:rsidRPr="00EA175D">
        <w:t>В първите процедури повечето проекти логично са за подготвителни дейности, докато във вторите две процедури преобладават проектите за вътрешнотериториално и транснационално сътрудничество.</w:t>
      </w:r>
      <w:r w:rsidR="009E1649" w:rsidRPr="00EA175D">
        <w:t xml:space="preserve"> Може да се направи заключение, че проектите за </w:t>
      </w:r>
      <w:r w:rsidR="00F67DE2">
        <w:t xml:space="preserve">подготвителни дейности за </w:t>
      </w:r>
      <w:r w:rsidR="009E1649" w:rsidRPr="00EA175D">
        <w:t xml:space="preserve">сътрудничество са изпълнили своето предназначение – а именно да послужат за инструмент за разработване на проекти за сътрудничество, които са и основната цел </w:t>
      </w:r>
      <w:r w:rsidR="00CC251C" w:rsidRPr="00EA175D">
        <w:t xml:space="preserve">и търсен резултат </w:t>
      </w:r>
      <w:r w:rsidR="009E1649" w:rsidRPr="00EA175D">
        <w:t>на подмярка 19.3.</w:t>
      </w:r>
      <w:r w:rsidR="00C3055C" w:rsidRPr="00EA175D">
        <w:t xml:space="preserve">  </w:t>
      </w:r>
    </w:p>
    <w:p w14:paraId="526DAA2C" w14:textId="680EF3E0" w:rsidR="00C3055C" w:rsidRPr="00EA175D" w:rsidRDefault="00C3055C" w:rsidP="00EA175D">
      <w:pPr>
        <w:pStyle w:val="ab"/>
        <w:spacing w:line="360" w:lineRule="auto"/>
        <w:ind w:left="0" w:firstLine="567"/>
        <w:jc w:val="both"/>
      </w:pPr>
      <w:r w:rsidRPr="00EA175D">
        <w:t xml:space="preserve">Подмярката е разработена да стимулира създаването на мрежи между МИГ в страната и извън страната развиване на сътрудничеството между МИГ. От всичките договорени 26 проектни предложения за подготвителни дейности само едно проектно предложение е за подготвителни дейности за вътрешнотериториално сътрудничество, всички останали 25 проектни предложения </w:t>
      </w:r>
      <w:r w:rsidR="00F67DE2" w:rsidRPr="00EA175D">
        <w:t>с</w:t>
      </w:r>
      <w:r w:rsidR="00F67DE2">
        <w:t>а</w:t>
      </w:r>
      <w:r w:rsidR="00F67DE2" w:rsidRPr="00EA175D">
        <w:t xml:space="preserve"> </w:t>
      </w:r>
      <w:r w:rsidRPr="00EA175D">
        <w:t>за подготвителни дейности за транснационално сътрудничество. В 15 от проектните предложения са предвидени потенциални партньори от Италия, в 7 от Испания, 3 от Франция и Гърция, 2 от Португалия и Литва. В по едно проектно предложение са включени потенциални партньори от Чехия, Финландия, Словения, Кипър, Германия, Унгария и Хърватия.</w:t>
      </w:r>
    </w:p>
    <w:p w14:paraId="54262BF4" w14:textId="77777777" w:rsidR="00C3055C" w:rsidRPr="00EA175D" w:rsidRDefault="00C3055C" w:rsidP="00EA175D">
      <w:pPr>
        <w:pStyle w:val="ab"/>
        <w:spacing w:line="360" w:lineRule="auto"/>
        <w:ind w:left="0" w:firstLine="567"/>
        <w:jc w:val="both"/>
      </w:pPr>
      <w:r w:rsidRPr="00EA175D">
        <w:t xml:space="preserve">От всички 13 договорени проектни предложения за вътрешнотериториално и транснационално сътрудничество 6 проектни предложения са за вътрешнотериториално и 7 проектни предложения са за транснационално сътрудничество. В 6 от проектните предложения участват партньори от Румъния, в 2 от Италия и Гърция и в едно от Чехия, Испания, Франция и Турция. </w:t>
      </w:r>
    </w:p>
    <w:p w14:paraId="577124E7" w14:textId="77777777" w:rsidR="00C3055C" w:rsidRPr="00EA175D" w:rsidRDefault="00C3055C" w:rsidP="00EA175D">
      <w:pPr>
        <w:pStyle w:val="ab"/>
        <w:spacing w:line="360" w:lineRule="auto"/>
        <w:ind w:left="0" w:firstLine="567"/>
        <w:jc w:val="both"/>
      </w:pPr>
      <w:r w:rsidRPr="00EA175D">
        <w:t xml:space="preserve">От тези данни е видно, че най-голям интерес по </w:t>
      </w:r>
      <w:r w:rsidR="00CC251C" w:rsidRPr="00EA175D">
        <w:t>под</w:t>
      </w:r>
      <w:r w:rsidRPr="00EA175D">
        <w:t>мярката</w:t>
      </w:r>
      <w:r w:rsidR="00CC251C" w:rsidRPr="00EA175D">
        <w:t xml:space="preserve"> има към сътрудничество с МИГ от различни страни от Европейския съюз. Такива са 32 от проектите (82%).</w:t>
      </w:r>
      <w:r w:rsidRPr="00EA175D">
        <w:t xml:space="preserve"> </w:t>
      </w:r>
    </w:p>
    <w:p w14:paraId="2AA19606" w14:textId="77777777" w:rsidR="00714482" w:rsidRPr="00EA175D" w:rsidRDefault="00714482" w:rsidP="00EA175D">
      <w:pPr>
        <w:pStyle w:val="ab"/>
        <w:spacing w:line="360" w:lineRule="auto"/>
        <w:ind w:left="0" w:firstLine="567"/>
        <w:jc w:val="both"/>
      </w:pPr>
    </w:p>
    <w:p w14:paraId="1405316F" w14:textId="77777777" w:rsidR="00714482" w:rsidRPr="00EA175D" w:rsidRDefault="00714482" w:rsidP="00EA175D">
      <w:pPr>
        <w:pStyle w:val="ab"/>
        <w:spacing w:line="360" w:lineRule="auto"/>
        <w:ind w:left="0" w:firstLine="567"/>
        <w:jc w:val="both"/>
        <w:rPr>
          <w:b/>
        </w:rPr>
      </w:pPr>
      <w:r w:rsidRPr="00EA175D">
        <w:rPr>
          <w:b/>
        </w:rPr>
        <w:t>Заключение</w:t>
      </w:r>
    </w:p>
    <w:p w14:paraId="26462D38" w14:textId="77777777" w:rsidR="005223AE" w:rsidRPr="00EA175D" w:rsidRDefault="00C3055C" w:rsidP="00EA175D">
      <w:pPr>
        <w:pStyle w:val="ab"/>
        <w:spacing w:line="360" w:lineRule="auto"/>
        <w:ind w:left="0" w:firstLine="567"/>
        <w:jc w:val="both"/>
      </w:pPr>
      <w:r w:rsidRPr="00EA175D">
        <w:t xml:space="preserve">В миналия програмен период </w:t>
      </w:r>
      <w:r w:rsidR="00CC251C" w:rsidRPr="00EA175D">
        <w:t>под</w:t>
      </w:r>
      <w:r w:rsidRPr="00EA175D">
        <w:t>мярка</w:t>
      </w:r>
      <w:r w:rsidR="00CC251C" w:rsidRPr="00EA175D">
        <w:t xml:space="preserve">та за сътрудничество (подмярка </w:t>
      </w:r>
      <w:r w:rsidRPr="00EA175D">
        <w:t>421</w:t>
      </w:r>
      <w:r w:rsidR="00CC251C" w:rsidRPr="00EA175D">
        <w:t xml:space="preserve"> на подхода ЛИДЕР)</w:t>
      </w:r>
      <w:r w:rsidRPr="00EA175D">
        <w:t xml:space="preserve"> стартира много късно и нямаше време да се прилага, въпреки че МИГ имаха желание да </w:t>
      </w:r>
      <w:r w:rsidR="00CC251C" w:rsidRPr="00EA175D">
        <w:t xml:space="preserve">я </w:t>
      </w:r>
      <w:r w:rsidRPr="00EA175D">
        <w:t>прилагат. През този програмен период се очакваше, че помярката за сътрудничество ще е много по</w:t>
      </w:r>
      <w:r w:rsidR="00CC251C" w:rsidRPr="00EA175D">
        <w:t>-</w:t>
      </w:r>
      <w:r w:rsidRPr="00EA175D">
        <w:t>успешна</w:t>
      </w:r>
      <w:r w:rsidR="00CC251C" w:rsidRPr="00EA175D">
        <w:t xml:space="preserve"> и по нея ще бъдат реализирани много проекти за сътрудничество. </w:t>
      </w:r>
    </w:p>
    <w:p w14:paraId="6D41722A" w14:textId="20AEB55D" w:rsidR="00CC251C" w:rsidRPr="00EA175D" w:rsidRDefault="005223AE" w:rsidP="00EA175D">
      <w:pPr>
        <w:pStyle w:val="ab"/>
        <w:spacing w:line="360" w:lineRule="auto"/>
        <w:ind w:left="0" w:firstLine="567"/>
        <w:jc w:val="both"/>
      </w:pPr>
      <w:r w:rsidRPr="00EA175D">
        <w:t>Съгласно ПРС</w:t>
      </w:r>
      <w:r w:rsidR="00C20C91">
        <w:t>Р</w:t>
      </w:r>
      <w:r w:rsidRPr="00EA175D">
        <w:t xml:space="preserve"> 2014 – 2020 г. „най-късно до две години след датата на подписване на партньорското споразумение, УО на ПРСР обявява процедурата за избор на проекти“. Споразумението за партньорство на Република България, очертаващо помощта от ЕСИФ за периода 2014 – 2020 г. е одобрено от ЕК на 07.08.2014 г., което предполага откриването на прием по подмярката до 07.08.2016 г. Към тази дата в България все още не е имало одобрени МИГ, като е течала оценката на подадените по първата покана на подмярка 19.2 стратегии за ВОМР. МИГ по втора покана по подмярка 19.2 са одобрени през първата половина на 2018 г. Предвид факта, че МИГ по първа и втора покана по подмярка 19.2 са одобрени при спазване на изискванията на европейското законодат</w:t>
      </w:r>
      <w:r w:rsidR="00F67DE2">
        <w:t>е</w:t>
      </w:r>
      <w:r w:rsidRPr="00EA175D">
        <w:t xml:space="preserve">лство, може да се заключи, че УО на ПРСР 2014 – 2020 г. е взел правилно решение за откриване на прием по подмярка 19.3 след одобрението на всички МИГ, които са и потенциалните кандидати по въпросната подмярка. При изпълнението на подмярката </w:t>
      </w:r>
      <w:r w:rsidR="00CC251C" w:rsidRPr="00EA175D">
        <w:t xml:space="preserve">УО на ПРСР 2014 – 2020 г. е </w:t>
      </w:r>
      <w:r w:rsidRPr="00EA175D">
        <w:t>извършвал оценка на подадените проектни предложения, спазвайки сроковете, предвидени в насоките за кандидатстване.</w:t>
      </w:r>
      <w:r w:rsidR="00CC251C" w:rsidRPr="00EA175D">
        <w:t xml:space="preserve"> </w:t>
      </w:r>
    </w:p>
    <w:p w14:paraId="02C5B7A3" w14:textId="77777777" w:rsidR="00A7607E" w:rsidRPr="00EA175D" w:rsidRDefault="00A7607E" w:rsidP="00EA175D">
      <w:pPr>
        <w:pStyle w:val="ab"/>
        <w:spacing w:line="360" w:lineRule="auto"/>
        <w:ind w:left="0" w:firstLine="567"/>
        <w:jc w:val="both"/>
      </w:pPr>
      <w:r w:rsidRPr="00EA175D">
        <w:t xml:space="preserve">Би следвало да се отбележи ниското ниво (17,46%) на възстановавяне на средствата </w:t>
      </w:r>
      <w:r w:rsidR="00D3608A" w:rsidRPr="00EA175D">
        <w:t>по подмярката от страна на ДФЗ, което може да доведе до затруднения във финансирането на местните инициативни групи и в прилагането на подмярката. За предотвратяване на тези рискове следва да се ускори процеса на възстановяване на средствата по подмярката от страна на ДФЗ.</w:t>
      </w:r>
    </w:p>
    <w:p w14:paraId="76229DC9" w14:textId="77777777" w:rsidR="00C3055C" w:rsidRPr="00EA175D" w:rsidRDefault="007F6D2F" w:rsidP="00EA175D">
      <w:pPr>
        <w:pStyle w:val="ab"/>
        <w:spacing w:line="360" w:lineRule="auto"/>
        <w:ind w:left="0" w:firstLine="567"/>
        <w:jc w:val="both"/>
      </w:pPr>
      <w:r w:rsidRPr="00EA175D">
        <w:t xml:space="preserve">Основно предизвикателство пред изпълнението на подмярка 19.3, е </w:t>
      </w:r>
      <w:r w:rsidR="00714482" w:rsidRPr="00EA175D">
        <w:t xml:space="preserve">възникналата </w:t>
      </w:r>
      <w:r w:rsidR="00C3055C" w:rsidRPr="00EA175D">
        <w:t xml:space="preserve">в целия свят </w:t>
      </w:r>
      <w:r w:rsidR="00714482" w:rsidRPr="00EA175D">
        <w:t xml:space="preserve">ситуация </w:t>
      </w:r>
      <w:r w:rsidR="00C3055C" w:rsidRPr="00EA175D">
        <w:t xml:space="preserve">с разпространението на </w:t>
      </w:r>
      <w:r w:rsidR="00E266C1" w:rsidRPr="00EA175D">
        <w:t>к</w:t>
      </w:r>
      <w:r w:rsidR="00C3055C" w:rsidRPr="00EA175D">
        <w:t>овид 19</w:t>
      </w:r>
      <w:r w:rsidR="00714482" w:rsidRPr="00EA175D">
        <w:t xml:space="preserve">. Предвид спецификата на подмярка 19.3 епидемичната обстановка води до </w:t>
      </w:r>
      <w:r w:rsidR="00C3055C" w:rsidRPr="00EA175D">
        <w:t>затрудн</w:t>
      </w:r>
      <w:r w:rsidR="00714482" w:rsidRPr="00EA175D">
        <w:t xml:space="preserve">ения и понякога невъзможност </w:t>
      </w:r>
      <w:r w:rsidR="00714482" w:rsidRPr="00EA175D">
        <w:lastRenderedPageBreak/>
        <w:t>за</w:t>
      </w:r>
      <w:r w:rsidR="00C3055C" w:rsidRPr="00EA175D">
        <w:t xml:space="preserve"> изпълнението на проектите, тъй като </w:t>
      </w:r>
      <w:r w:rsidR="00714482" w:rsidRPr="00EA175D">
        <w:t xml:space="preserve">много от </w:t>
      </w:r>
      <w:r w:rsidR="00C3055C" w:rsidRPr="00EA175D">
        <w:t xml:space="preserve">дейностите </w:t>
      </w:r>
      <w:r w:rsidR="00714482" w:rsidRPr="00EA175D">
        <w:t xml:space="preserve">по тях </w:t>
      </w:r>
      <w:r w:rsidR="00C3055C" w:rsidRPr="00EA175D">
        <w:t xml:space="preserve">са свързани с пътувания, които не успяват да се осъществят. Това </w:t>
      </w:r>
      <w:r w:rsidR="00714482" w:rsidRPr="00EA175D">
        <w:t xml:space="preserve">е довело до значително </w:t>
      </w:r>
      <w:r w:rsidR="00C3055C" w:rsidRPr="00EA175D">
        <w:t>намал</w:t>
      </w:r>
      <w:r w:rsidR="00714482" w:rsidRPr="00EA175D">
        <w:t>яване на</w:t>
      </w:r>
      <w:r w:rsidR="00C3055C" w:rsidRPr="00EA175D">
        <w:t xml:space="preserve"> интереса на МИГ към прилагане на </w:t>
      </w:r>
      <w:r w:rsidR="00714482" w:rsidRPr="00EA175D">
        <w:t>под</w:t>
      </w:r>
      <w:r w:rsidR="00C3055C" w:rsidRPr="00EA175D">
        <w:t>мярката</w:t>
      </w:r>
      <w:r w:rsidR="00714482" w:rsidRPr="00EA175D">
        <w:t xml:space="preserve"> и може да се счита за основна причина за недоговаряне на целия разполагаем бюджет</w:t>
      </w:r>
      <w:r w:rsidR="00C3055C" w:rsidRPr="00EA175D">
        <w:t>.</w:t>
      </w:r>
      <w:r w:rsidR="00714482" w:rsidRPr="00EA175D">
        <w:t xml:space="preserve"> Все пак, предвид преходния период по Европейския земеделски фонд за развитие на селските райони, МИГ ще разполагат с допълнително време за извършване на дейности за сътрудничество и по този начин са налице добри предпоставки за успешното изпълнение на подмярката.</w:t>
      </w:r>
      <w:r w:rsidR="00C3055C" w:rsidRPr="00EA175D">
        <w:t xml:space="preserve"> </w:t>
      </w:r>
    </w:p>
    <w:p w14:paraId="290C235B" w14:textId="77777777" w:rsidR="005C216B" w:rsidRPr="00EA175D" w:rsidRDefault="00F46353" w:rsidP="00EA175D">
      <w:pPr>
        <w:pStyle w:val="1"/>
        <w:numPr>
          <w:ilvl w:val="1"/>
          <w:numId w:val="1"/>
        </w:numPr>
        <w:tabs>
          <w:tab w:val="left" w:pos="993"/>
        </w:tabs>
        <w:spacing w:line="360" w:lineRule="auto"/>
        <w:ind w:left="0" w:firstLine="567"/>
        <w:jc w:val="both"/>
        <w:rPr>
          <w:rFonts w:ascii="Times New Roman" w:hAnsi="Times New Roman" w:cs="Times New Roman"/>
          <w:color w:val="auto"/>
          <w:sz w:val="24"/>
          <w:szCs w:val="24"/>
        </w:rPr>
      </w:pPr>
      <w:bookmarkStart w:id="43" w:name="_Toc93489796"/>
      <w:r w:rsidRPr="00EA175D">
        <w:rPr>
          <w:rFonts w:ascii="Times New Roman" w:hAnsi="Times New Roman" w:cs="Times New Roman"/>
          <w:color w:val="auto"/>
          <w:sz w:val="24"/>
          <w:szCs w:val="24"/>
        </w:rPr>
        <w:t>Оценка на ефективността на ИСУН за намаляване на административната тежест</w:t>
      </w:r>
      <w:r w:rsidR="00961092" w:rsidRPr="00EA175D">
        <w:rPr>
          <w:rFonts w:ascii="Times New Roman" w:hAnsi="Times New Roman" w:cs="Times New Roman"/>
          <w:color w:val="auto"/>
          <w:sz w:val="24"/>
          <w:szCs w:val="24"/>
        </w:rPr>
        <w:t xml:space="preserve"> за прилагането на подхода ВОМР</w:t>
      </w:r>
      <w:bookmarkEnd w:id="43"/>
    </w:p>
    <w:p w14:paraId="51B523DD" w14:textId="77777777" w:rsidR="00C21EF1" w:rsidRPr="00EA175D" w:rsidRDefault="00C21EF1" w:rsidP="00EA175D">
      <w:pPr>
        <w:spacing w:line="360" w:lineRule="auto"/>
        <w:jc w:val="both"/>
      </w:pPr>
      <w:r w:rsidRPr="00EA175D">
        <w:t>ИСУН е абревиатура от информационна система за управление и наблюдение на структурните инструменти на ЕС и представлява електронна платформа, чрез която през този програмен период се извършва кандидатстването и отчитането на проектите по оперативните програми. В тази връзка е приета Наредба за определяне на условията, реда и механизма за функциониране на информационната система за управление и наблюдение на средствата от европейските структурни и инвестиционни фондове (ИСУН) и за провеждане на производства пред управляващите органи посредством ИСУН, с ПМС № 243 от 20.09.2016 г.</w:t>
      </w:r>
    </w:p>
    <w:p w14:paraId="2D2DABE7" w14:textId="77777777" w:rsidR="00C21EF1" w:rsidRPr="00EA175D" w:rsidRDefault="00C21EF1" w:rsidP="00EA175D">
      <w:pPr>
        <w:spacing w:line="360" w:lineRule="auto"/>
        <w:jc w:val="both"/>
      </w:pPr>
      <w:r w:rsidRPr="00EA175D">
        <w:t>Наредбата се прилага при извършване посредством ИСУН на действия:</w:t>
      </w:r>
    </w:p>
    <w:p w14:paraId="4C2895DC" w14:textId="77777777" w:rsidR="00C21EF1" w:rsidRPr="00EA175D" w:rsidRDefault="00C21EF1" w:rsidP="00EA175D">
      <w:pPr>
        <w:spacing w:line="360" w:lineRule="auto"/>
        <w:jc w:val="both"/>
      </w:pPr>
      <w:r w:rsidRPr="00EA175D">
        <w:t>1. в производствата по утвърждаването на документите по чл. 26, ал. 1 ЗУСЕСИФ;</w:t>
      </w:r>
    </w:p>
    <w:p w14:paraId="4C09E3B3" w14:textId="77777777" w:rsidR="00C21EF1" w:rsidRPr="00EA175D" w:rsidRDefault="00C21EF1" w:rsidP="00EA175D">
      <w:pPr>
        <w:spacing w:line="360" w:lineRule="auto"/>
        <w:jc w:val="both"/>
      </w:pPr>
      <w:r w:rsidRPr="00EA175D">
        <w:t>2. в производствата по предоставяне на безвъзмездна финансова помощ на основата на одобрено проектно предложение и финансов план за бюджетна линия, когато това е предвидено в документите по чл. 26, ал. 1 ЗУСЕСИФ;</w:t>
      </w:r>
    </w:p>
    <w:p w14:paraId="32712E82" w14:textId="77777777" w:rsidR="00C21EF1" w:rsidRPr="00EA175D" w:rsidRDefault="00C21EF1" w:rsidP="00EA175D">
      <w:pPr>
        <w:spacing w:line="360" w:lineRule="auto"/>
        <w:jc w:val="both"/>
      </w:pPr>
      <w:r w:rsidRPr="00EA175D">
        <w:t>3. по верифициране на разходите и регистриране на плащанията съгласно акта по чл. 7, ал. 4, т. 4 ЗУСЕСИФ;</w:t>
      </w:r>
    </w:p>
    <w:p w14:paraId="3B11FAF5" w14:textId="77777777" w:rsidR="00C21EF1" w:rsidRPr="00EA175D" w:rsidRDefault="00C21EF1" w:rsidP="00EA175D">
      <w:pPr>
        <w:spacing w:line="360" w:lineRule="auto"/>
        <w:jc w:val="both"/>
      </w:pPr>
      <w:r w:rsidRPr="00EA175D">
        <w:t>4. в производствата по определяне на финансови корекции.</w:t>
      </w:r>
    </w:p>
    <w:p w14:paraId="3BD558A7" w14:textId="77777777" w:rsidR="00C21EF1" w:rsidRPr="00EA175D" w:rsidRDefault="00C21EF1" w:rsidP="00EA175D">
      <w:pPr>
        <w:spacing w:line="360" w:lineRule="auto"/>
        <w:jc w:val="both"/>
      </w:pPr>
      <w:r w:rsidRPr="00EA175D">
        <w:t xml:space="preserve">Съгласно чл. 3, ал. 1, т.18 от наредбата в ИСУН се записват и съхраняват в компютризирана форма данни за всяка операция, необходими за мониторинга, оценката, финансовото управление, проверката и одита, включително данни за отделните </w:t>
      </w:r>
      <w:r w:rsidRPr="00EA175D">
        <w:lastRenderedPageBreak/>
        <w:t xml:space="preserve">участници в операциите, когато е приложимо и по Програмата за развитие на селските райони 2014 2020 г. от април 2017 г. </w:t>
      </w:r>
    </w:p>
    <w:p w14:paraId="02B6DBBC" w14:textId="77777777" w:rsidR="00C21EF1" w:rsidRPr="00EA175D" w:rsidRDefault="00C21EF1" w:rsidP="00EA175D">
      <w:pPr>
        <w:spacing w:line="360" w:lineRule="auto"/>
        <w:jc w:val="both"/>
      </w:pPr>
      <w:r w:rsidRPr="00EA175D">
        <w:t>Първата мярка от ПРСР 2014 – 2020 г., по която е започнал прием през електронната платформа ИСУН е подмярка 19.2 „Прилагане на операции в рамките на стратегии за ВОМР“.</w:t>
      </w:r>
    </w:p>
    <w:p w14:paraId="3C185F57" w14:textId="77777777" w:rsidR="00C21EF1" w:rsidRPr="00EA175D" w:rsidRDefault="00C21EF1" w:rsidP="00EA175D">
      <w:pPr>
        <w:spacing w:line="360" w:lineRule="auto"/>
        <w:jc w:val="both"/>
      </w:pPr>
      <w:r w:rsidRPr="00EA175D">
        <w:t>Както стана ясно от иформацията посочена по-горе вторият прием на стратегии по подмярка 19.2 в периода 30 юни 2017 г. – 31 август 2017 г. е проведен по условията на Закона за управление на средствата от европейските структурни и инвестиционни фондове и ПМС № 161. Условията за приема са включени в Насоки за определяне на условията за кандидатстване и условията за изпълнение на одобрените стратегии за ВОМР. Приемът и последващата оценка на подадените заявления са извършени в ИСУН 2020. Заявленията включващи стратегиите за ВОМР и всички приложими документи са се подавали по електронен път, това изключително много е намалило административната тежест, тъй като МИГ не е бил принуден да подава в МЗХГ огромни класьори на хартия и в няколко екземпляра както е била документацията по първия прием. Освен спестяването на голямо количество хартия по този прием е избегната и необходимостта от проверка на оригинали или подпечатването и подписването на копията на документите с гриф „вярно с оригинала“.</w:t>
      </w:r>
    </w:p>
    <w:p w14:paraId="0E0E4E40" w14:textId="77777777" w:rsidR="00C21EF1" w:rsidRPr="00EA175D" w:rsidRDefault="00C21EF1" w:rsidP="00EA175D">
      <w:pPr>
        <w:spacing w:line="360" w:lineRule="auto"/>
        <w:jc w:val="both"/>
      </w:pPr>
      <w:r w:rsidRPr="00EA175D">
        <w:t>Цялата кореспонденция между кандидатите и комисията за оценка на стратегиите за ВОМР също е осъществявана през системата ИСУН 2020, което също намалява административната тежест, тъй като отново се избягва хартиения носител и закъснения при получаването на комуникациите поради липсата на пощенски услуги.</w:t>
      </w:r>
    </w:p>
    <w:p w14:paraId="55DC95DC" w14:textId="77777777" w:rsidR="00C21EF1" w:rsidRPr="00EA175D" w:rsidRDefault="00C21EF1" w:rsidP="00EA175D">
      <w:pPr>
        <w:spacing w:line="360" w:lineRule="auto"/>
        <w:jc w:val="both"/>
      </w:pPr>
      <w:r w:rsidRPr="00EA175D">
        <w:t>Оценката на стратегиите също се извършва в електронната платформа, което освобождава оценителите от необходимостта да извършват оценката в министерство на земеделието, храните и горите попълвайки своите контролни листа на хартия, което неминуемо намалява административната тежест и дава голяма свобода на оценителите да извършват оценката в подходящо за тях време.</w:t>
      </w:r>
    </w:p>
    <w:p w14:paraId="0A6E03FF" w14:textId="77777777" w:rsidR="00C21EF1" w:rsidRPr="00F77584" w:rsidRDefault="00C21EF1" w:rsidP="00EA175D">
      <w:pPr>
        <w:spacing w:line="360" w:lineRule="auto"/>
        <w:jc w:val="both"/>
        <w:rPr>
          <w:lang w:val="ru-RU"/>
        </w:rPr>
      </w:pPr>
      <w:r w:rsidRPr="00EA175D">
        <w:t xml:space="preserve">По този начин няма опасност да бъдат загубени документи при съхранението им след завършилия процес на оценка и изключително много улеснява последващи одити от </w:t>
      </w:r>
      <w:r w:rsidRPr="00EA175D">
        <w:lastRenderedPageBreak/>
        <w:t xml:space="preserve">различни институции на процеса по оценка на стратегиите за ВОМР. Намаляването на административната тежест е и поради факта, че при извършването на одити по подхода не се копират или сканират значително количество документи. </w:t>
      </w:r>
    </w:p>
    <w:p w14:paraId="399C16C4" w14:textId="77777777" w:rsidR="00C21EF1" w:rsidRPr="00EA175D" w:rsidRDefault="00C21EF1" w:rsidP="00EA175D">
      <w:pPr>
        <w:spacing w:line="360" w:lineRule="auto"/>
        <w:jc w:val="both"/>
      </w:pPr>
      <w:r w:rsidRPr="00EA175D">
        <w:t xml:space="preserve">Всички приеми на МИГ по стратегиите за ВОМР са стартирали през 2018 година в системата ИСУН. В този процес най-ясно се вижда ефективността на ИСУН, тъй като изцяло се премахва кандидатстването с проектни предложения по стратегиите за ВОМР на хартия и в офисите на МИГ. Целия процес по кандиатстването се извършва по електронен път с електронен подпис на кандидата. </w:t>
      </w:r>
    </w:p>
    <w:p w14:paraId="342241D5" w14:textId="77777777" w:rsidR="00C21EF1" w:rsidRPr="00EA175D" w:rsidRDefault="00C21EF1" w:rsidP="00EA175D">
      <w:pPr>
        <w:spacing w:line="360" w:lineRule="auto"/>
        <w:jc w:val="both"/>
      </w:pPr>
      <w:r w:rsidRPr="00EA175D">
        <w:t xml:space="preserve">Както по-горе беше обяснено намаляването на административната тежест е значително, тъй като цялата кореспонденция между кандидатите и оценителните комисии на МИГ, оценката на проектните предложения на кандидатите на МИГ, проверката на проведената процедура и на проектните предложения от страна на ДФЗ се извършва в системата ИСУН. Целия процес може да бъде проследен и не е възможна подмяна на документи от страна на кандидата или от страна на МИГ и се облекчава процеса по проверката от страна на Държавен фонд „Земеделие“. </w:t>
      </w:r>
    </w:p>
    <w:p w14:paraId="2144600C" w14:textId="77777777" w:rsidR="00C21EF1" w:rsidRPr="00EA175D" w:rsidRDefault="00C21EF1" w:rsidP="00EA175D">
      <w:pPr>
        <w:spacing w:line="360" w:lineRule="auto"/>
        <w:jc w:val="both"/>
      </w:pPr>
      <w:r w:rsidRPr="00EA175D">
        <w:t xml:space="preserve">Намалява се и административната тежест при изпълнението на проектите и мониторинга и контрола от страна на МИГ на бенефициентите на проектите, тъй като и тези дейности се извършват в ИСУН, като подаване на заявки за плащане и отчитане на проектите. </w:t>
      </w:r>
    </w:p>
    <w:p w14:paraId="781F5005" w14:textId="77777777" w:rsidR="002258B0" w:rsidRPr="00EA175D" w:rsidRDefault="00C21EF1" w:rsidP="00EA175D">
      <w:pPr>
        <w:spacing w:line="360" w:lineRule="auto"/>
        <w:jc w:val="both"/>
      </w:pPr>
      <w:r w:rsidRPr="00EA175D">
        <w:t>Очаква се през следващия програмен период и договарянето и отчитането на интервенцията за „Текущи разходи и популяризиране на стратегия за ВОМР“ да се извършва през системата ИСУН, което съвсем ще улесни работата на МИГ и ще облекчи експертите от Държавен фонд „Земеделие“.</w:t>
      </w:r>
    </w:p>
    <w:p w14:paraId="30E9066F" w14:textId="24F6684B" w:rsidR="002258B0" w:rsidRDefault="002258B0" w:rsidP="00EA175D">
      <w:pPr>
        <w:spacing w:line="360" w:lineRule="auto"/>
        <w:jc w:val="both"/>
      </w:pPr>
      <w:r w:rsidRPr="00EA175D">
        <w:t xml:space="preserve"> </w:t>
      </w:r>
    </w:p>
    <w:p w14:paraId="1C0BC503" w14:textId="0A91CDAC" w:rsidR="00FC6445" w:rsidRDefault="00FC6445" w:rsidP="00EA175D">
      <w:pPr>
        <w:spacing w:line="360" w:lineRule="auto"/>
        <w:jc w:val="both"/>
      </w:pPr>
    </w:p>
    <w:p w14:paraId="168C0133" w14:textId="581EB0EE" w:rsidR="00FC6445" w:rsidRDefault="00FC6445" w:rsidP="00EA175D">
      <w:pPr>
        <w:spacing w:line="360" w:lineRule="auto"/>
        <w:jc w:val="both"/>
      </w:pPr>
    </w:p>
    <w:p w14:paraId="2C767BA5" w14:textId="7A075CF9" w:rsidR="00FC6445" w:rsidRDefault="00FC6445" w:rsidP="00EA175D">
      <w:pPr>
        <w:spacing w:line="360" w:lineRule="auto"/>
        <w:jc w:val="both"/>
      </w:pPr>
    </w:p>
    <w:p w14:paraId="0786AEBA" w14:textId="33521714" w:rsidR="00FC6445" w:rsidRDefault="00FC6445" w:rsidP="00EA175D">
      <w:pPr>
        <w:spacing w:line="360" w:lineRule="auto"/>
        <w:jc w:val="both"/>
      </w:pPr>
    </w:p>
    <w:p w14:paraId="6F4C293D" w14:textId="6369CA98" w:rsidR="00FC6445" w:rsidRDefault="00FC6445" w:rsidP="00EA175D">
      <w:pPr>
        <w:spacing w:line="360" w:lineRule="auto"/>
        <w:jc w:val="both"/>
      </w:pPr>
    </w:p>
    <w:p w14:paraId="6C8E2320" w14:textId="244FD96C" w:rsidR="00FC6445" w:rsidRDefault="00FC6445" w:rsidP="00EA175D">
      <w:pPr>
        <w:spacing w:line="360" w:lineRule="auto"/>
        <w:jc w:val="both"/>
      </w:pPr>
    </w:p>
    <w:p w14:paraId="2654BCA8" w14:textId="77777777" w:rsidR="00FC6445" w:rsidRPr="00EA175D" w:rsidRDefault="00FC6445" w:rsidP="00EA175D">
      <w:pPr>
        <w:spacing w:line="360" w:lineRule="auto"/>
        <w:jc w:val="both"/>
      </w:pPr>
    </w:p>
    <w:p w14:paraId="4B3FF253" w14:textId="753ED6FB" w:rsidR="00277E7C" w:rsidRPr="00F77584" w:rsidRDefault="002258B0" w:rsidP="00EA175D">
      <w:pPr>
        <w:pStyle w:val="1"/>
        <w:numPr>
          <w:ilvl w:val="0"/>
          <w:numId w:val="1"/>
        </w:numPr>
        <w:spacing w:line="360" w:lineRule="auto"/>
        <w:jc w:val="both"/>
        <w:rPr>
          <w:rFonts w:ascii="Times New Roman" w:hAnsi="Times New Roman" w:cs="Times New Roman"/>
          <w:color w:val="auto"/>
          <w:sz w:val="24"/>
          <w:szCs w:val="24"/>
          <w:lang w:val="ru-RU"/>
        </w:rPr>
      </w:pPr>
      <w:bookmarkStart w:id="44" w:name="_Toc93489797"/>
      <w:r w:rsidRPr="00EA175D">
        <w:rPr>
          <w:rFonts w:ascii="Times New Roman" w:hAnsi="Times New Roman" w:cs="Times New Roman"/>
          <w:color w:val="auto"/>
          <w:sz w:val="24"/>
          <w:szCs w:val="24"/>
        </w:rPr>
        <w:t>Резултати от оценката на прилагането на подхода ЛИДЕР  и подхода ВОМР</w:t>
      </w:r>
      <w:bookmarkEnd w:id="44"/>
    </w:p>
    <w:p w14:paraId="4BB3B854" w14:textId="77777777" w:rsidR="00277E7C" w:rsidRPr="00F77584" w:rsidRDefault="00277E7C" w:rsidP="00EA175D">
      <w:pPr>
        <w:spacing w:line="360" w:lineRule="auto"/>
        <w:jc w:val="both"/>
        <w:rPr>
          <w:lang w:val="ru-RU"/>
        </w:rPr>
      </w:pPr>
    </w:p>
    <w:p w14:paraId="31167CDA" w14:textId="77777777" w:rsidR="002258B0" w:rsidRPr="00EA175D" w:rsidRDefault="002258B0" w:rsidP="00EA175D">
      <w:pPr>
        <w:spacing w:line="360" w:lineRule="auto"/>
        <w:jc w:val="both"/>
        <w:rPr>
          <w:rFonts w:eastAsiaTheme="minorEastAsia"/>
          <w:bCs/>
        </w:rPr>
      </w:pPr>
      <w:r w:rsidRPr="00EA175D">
        <w:rPr>
          <w:rFonts w:eastAsiaTheme="minorEastAsia"/>
          <w:bCs/>
        </w:rPr>
        <w:t>Оценката на прилагането на подхода ЛИДЕР и подхода ВОМР се основава на базата на проведено анкетно проучване на мнението на населението от територията на МИГ, изпълняващи стратегии за ВОМР, относно прилагането на подход.</w:t>
      </w:r>
    </w:p>
    <w:p w14:paraId="46C08A84" w14:textId="527C5EB9" w:rsidR="002258B0" w:rsidRPr="00EA175D" w:rsidRDefault="002258B0" w:rsidP="00EA175D">
      <w:pPr>
        <w:spacing w:line="360" w:lineRule="auto"/>
        <w:jc w:val="both"/>
        <w:rPr>
          <w:rFonts w:eastAsiaTheme="minorEastAsia"/>
        </w:rPr>
      </w:pPr>
      <w:r w:rsidRPr="00EA175D">
        <w:rPr>
          <w:rFonts w:eastAsiaTheme="minorEastAsia"/>
        </w:rPr>
        <w:t>Анкетното проучване е проведено в периода 25.10-20.10.2021 г. Анкетирани са 640 бенефициенти. Анкетата е структурирана в пет раздела, които са: профил на анкетираните; мнение относно МИГ; мнение относно СВОМР; оценка на подхода ВОМР; препоръки за бъдещето. (</w:t>
      </w:r>
      <w:r w:rsidRPr="00EA175D">
        <w:rPr>
          <w:rFonts w:eastAsiaTheme="minorEastAsia"/>
          <w:b/>
          <w:bCs/>
        </w:rPr>
        <w:t>Приложение 12</w:t>
      </w:r>
      <w:r w:rsidRPr="00EA175D">
        <w:rPr>
          <w:rFonts w:eastAsiaTheme="minorEastAsia"/>
        </w:rPr>
        <w:t>)</w:t>
      </w:r>
    </w:p>
    <w:p w14:paraId="638EC331" w14:textId="77777777" w:rsidR="002258B0" w:rsidRPr="00EA175D" w:rsidRDefault="002258B0" w:rsidP="00EA175D">
      <w:pPr>
        <w:spacing w:line="360" w:lineRule="auto"/>
        <w:jc w:val="both"/>
        <w:rPr>
          <w:rFonts w:eastAsiaTheme="minorEastAsia"/>
        </w:rPr>
      </w:pPr>
      <w:r w:rsidRPr="00EA175D">
        <w:rPr>
          <w:rFonts w:eastAsiaTheme="minorEastAsia"/>
        </w:rPr>
        <w:t xml:space="preserve">Данните от </w:t>
      </w:r>
      <w:r w:rsidRPr="00EA175D">
        <w:rPr>
          <w:rFonts w:eastAsiaTheme="minorEastAsia"/>
          <w:b/>
        </w:rPr>
        <w:t>първата група въпроси</w:t>
      </w:r>
      <w:r w:rsidRPr="00EA175D">
        <w:rPr>
          <w:rFonts w:eastAsiaTheme="minorEastAsia"/>
        </w:rPr>
        <w:t xml:space="preserve"> са насочени към идентификация на анкетираните.</w:t>
      </w:r>
    </w:p>
    <w:p w14:paraId="76E31573" w14:textId="77777777" w:rsidR="002258B0" w:rsidRPr="00EA175D" w:rsidRDefault="002258B0" w:rsidP="00EA175D">
      <w:pPr>
        <w:spacing w:line="360" w:lineRule="auto"/>
        <w:jc w:val="both"/>
        <w:rPr>
          <w:rFonts w:eastAsiaTheme="minorEastAsia"/>
        </w:rPr>
      </w:pPr>
      <w:r w:rsidRPr="00EA175D">
        <w:rPr>
          <w:rFonts w:eastAsiaTheme="minorEastAsia"/>
        </w:rPr>
        <w:t>От анкетираните 640 човека, 544 (85%) живеят в град на територията на МИГ. Останалите 96 (15%) живеят в села на територията на МИГ.</w:t>
      </w:r>
    </w:p>
    <w:p w14:paraId="665B5ABD" w14:textId="6A4F8FF4" w:rsidR="002258B0" w:rsidRPr="00B00E7A" w:rsidRDefault="002258B0" w:rsidP="00EA175D">
      <w:pPr>
        <w:spacing w:line="360" w:lineRule="auto"/>
        <w:jc w:val="both"/>
        <w:rPr>
          <w:rFonts w:eastAsiaTheme="minorEastAsia"/>
        </w:rPr>
      </w:pPr>
      <w:r w:rsidRPr="00EA175D">
        <w:rPr>
          <w:rFonts w:eastAsiaTheme="minorEastAsia"/>
        </w:rPr>
        <w:t>Разпределението на анкетираните по възраст показва, че най-голяма е групата на тези от 40 до 50 години – 288 на брой, следвана от групата 30-40 години – 240. В анкетата най-слабо е представителството на учениците ( до 18 години) и тези над 65 години.</w:t>
      </w:r>
    </w:p>
    <w:tbl>
      <w:tblPr>
        <w:tblW w:w="8580" w:type="dxa"/>
        <w:tblLook w:val="04A0" w:firstRow="1" w:lastRow="0" w:firstColumn="1" w:lastColumn="0" w:noHBand="0" w:noVBand="1"/>
      </w:tblPr>
      <w:tblGrid>
        <w:gridCol w:w="4433"/>
        <w:gridCol w:w="3034"/>
        <w:gridCol w:w="1113"/>
      </w:tblGrid>
      <w:tr w:rsidR="002258B0" w:rsidRPr="00EA175D" w14:paraId="0E57DD2E" w14:textId="77777777" w:rsidTr="003E6392">
        <w:trPr>
          <w:trHeight w:val="540"/>
        </w:trPr>
        <w:tc>
          <w:tcPr>
            <w:tcW w:w="8580" w:type="dxa"/>
            <w:gridSpan w:val="3"/>
            <w:tcBorders>
              <w:top w:val="nil"/>
              <w:left w:val="nil"/>
              <w:bottom w:val="single" w:sz="8" w:space="0" w:color="auto"/>
              <w:right w:val="nil"/>
            </w:tcBorders>
            <w:shd w:val="clear" w:color="auto" w:fill="auto"/>
            <w:noWrap/>
            <w:vAlign w:val="bottom"/>
            <w:hideMark/>
          </w:tcPr>
          <w:p w14:paraId="59B4F640"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Разпределение на анкетираните по възраст</w:t>
            </w:r>
          </w:p>
        </w:tc>
      </w:tr>
      <w:tr w:rsidR="002258B0" w:rsidRPr="00EA175D" w14:paraId="1ED4CAD9" w14:textId="77777777" w:rsidTr="003E6392">
        <w:trPr>
          <w:trHeight w:val="540"/>
        </w:trPr>
        <w:tc>
          <w:tcPr>
            <w:tcW w:w="4433" w:type="dxa"/>
            <w:tcBorders>
              <w:top w:val="nil"/>
              <w:left w:val="single" w:sz="8" w:space="0" w:color="auto"/>
              <w:bottom w:val="single" w:sz="4" w:space="0" w:color="auto"/>
              <w:right w:val="single" w:sz="4" w:space="0" w:color="auto"/>
            </w:tcBorders>
            <w:shd w:val="clear" w:color="auto" w:fill="auto"/>
            <w:noWrap/>
            <w:vAlign w:val="bottom"/>
            <w:hideMark/>
          </w:tcPr>
          <w:p w14:paraId="5BCCDEB6"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Възраст на анкетираните</w:t>
            </w:r>
          </w:p>
        </w:tc>
        <w:tc>
          <w:tcPr>
            <w:tcW w:w="3034" w:type="dxa"/>
            <w:tcBorders>
              <w:top w:val="nil"/>
              <w:left w:val="nil"/>
              <w:bottom w:val="single" w:sz="4" w:space="0" w:color="auto"/>
              <w:right w:val="single" w:sz="4" w:space="0" w:color="auto"/>
            </w:tcBorders>
            <w:shd w:val="clear" w:color="auto" w:fill="auto"/>
            <w:noWrap/>
            <w:vAlign w:val="bottom"/>
            <w:hideMark/>
          </w:tcPr>
          <w:p w14:paraId="5D88E460"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Брой анкетирани</w:t>
            </w:r>
          </w:p>
        </w:tc>
        <w:tc>
          <w:tcPr>
            <w:tcW w:w="1113" w:type="dxa"/>
            <w:tcBorders>
              <w:top w:val="nil"/>
              <w:left w:val="nil"/>
              <w:bottom w:val="single" w:sz="4" w:space="0" w:color="auto"/>
              <w:right w:val="single" w:sz="8" w:space="0" w:color="auto"/>
            </w:tcBorders>
            <w:shd w:val="clear" w:color="auto" w:fill="auto"/>
            <w:noWrap/>
            <w:vAlign w:val="bottom"/>
            <w:hideMark/>
          </w:tcPr>
          <w:p w14:paraId="67AE252B"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w:t>
            </w:r>
          </w:p>
        </w:tc>
      </w:tr>
      <w:tr w:rsidR="002258B0" w:rsidRPr="00EA175D" w14:paraId="36372BE2" w14:textId="77777777" w:rsidTr="003E6392">
        <w:trPr>
          <w:trHeight w:val="540"/>
        </w:trPr>
        <w:tc>
          <w:tcPr>
            <w:tcW w:w="4433" w:type="dxa"/>
            <w:tcBorders>
              <w:top w:val="nil"/>
              <w:left w:val="single" w:sz="8" w:space="0" w:color="auto"/>
              <w:bottom w:val="single" w:sz="4" w:space="0" w:color="auto"/>
              <w:right w:val="single" w:sz="4" w:space="0" w:color="auto"/>
            </w:tcBorders>
            <w:shd w:val="clear" w:color="auto" w:fill="auto"/>
            <w:noWrap/>
            <w:vAlign w:val="bottom"/>
            <w:hideMark/>
          </w:tcPr>
          <w:p w14:paraId="6476B3B5"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 xml:space="preserve">До 18г. </w:t>
            </w:r>
          </w:p>
        </w:tc>
        <w:tc>
          <w:tcPr>
            <w:tcW w:w="3034" w:type="dxa"/>
            <w:tcBorders>
              <w:top w:val="nil"/>
              <w:left w:val="nil"/>
              <w:bottom w:val="single" w:sz="4" w:space="0" w:color="auto"/>
              <w:right w:val="single" w:sz="4" w:space="0" w:color="auto"/>
            </w:tcBorders>
            <w:shd w:val="clear" w:color="auto" w:fill="auto"/>
            <w:noWrap/>
            <w:vAlign w:val="bottom"/>
            <w:hideMark/>
          </w:tcPr>
          <w:p w14:paraId="38D90E88"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16</w:t>
            </w:r>
          </w:p>
        </w:tc>
        <w:tc>
          <w:tcPr>
            <w:tcW w:w="1113" w:type="dxa"/>
            <w:tcBorders>
              <w:top w:val="nil"/>
              <w:left w:val="nil"/>
              <w:bottom w:val="single" w:sz="4" w:space="0" w:color="auto"/>
              <w:right w:val="single" w:sz="8" w:space="0" w:color="auto"/>
            </w:tcBorders>
            <w:shd w:val="clear" w:color="auto" w:fill="auto"/>
            <w:noWrap/>
            <w:vAlign w:val="bottom"/>
            <w:hideMark/>
          </w:tcPr>
          <w:p w14:paraId="7A0F40D5"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2,5%</w:t>
            </w:r>
          </w:p>
        </w:tc>
      </w:tr>
      <w:tr w:rsidR="002258B0" w:rsidRPr="00EA175D" w14:paraId="68DD43C3" w14:textId="77777777" w:rsidTr="003E6392">
        <w:trPr>
          <w:trHeight w:val="540"/>
        </w:trPr>
        <w:tc>
          <w:tcPr>
            <w:tcW w:w="4433" w:type="dxa"/>
            <w:tcBorders>
              <w:top w:val="nil"/>
              <w:left w:val="single" w:sz="8" w:space="0" w:color="auto"/>
              <w:bottom w:val="single" w:sz="4" w:space="0" w:color="auto"/>
              <w:right w:val="single" w:sz="4" w:space="0" w:color="auto"/>
            </w:tcBorders>
            <w:shd w:val="clear" w:color="auto" w:fill="auto"/>
            <w:noWrap/>
            <w:vAlign w:val="bottom"/>
            <w:hideMark/>
          </w:tcPr>
          <w:p w14:paraId="7D9B445B"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 xml:space="preserve">До 30г. </w:t>
            </w:r>
          </w:p>
        </w:tc>
        <w:tc>
          <w:tcPr>
            <w:tcW w:w="3034" w:type="dxa"/>
            <w:tcBorders>
              <w:top w:val="nil"/>
              <w:left w:val="nil"/>
              <w:bottom w:val="single" w:sz="4" w:space="0" w:color="auto"/>
              <w:right w:val="single" w:sz="4" w:space="0" w:color="auto"/>
            </w:tcBorders>
            <w:shd w:val="clear" w:color="auto" w:fill="auto"/>
            <w:noWrap/>
            <w:vAlign w:val="bottom"/>
            <w:hideMark/>
          </w:tcPr>
          <w:p w14:paraId="489A4D4C"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35</w:t>
            </w:r>
          </w:p>
        </w:tc>
        <w:tc>
          <w:tcPr>
            <w:tcW w:w="1113" w:type="dxa"/>
            <w:tcBorders>
              <w:top w:val="nil"/>
              <w:left w:val="nil"/>
              <w:bottom w:val="single" w:sz="4" w:space="0" w:color="auto"/>
              <w:right w:val="single" w:sz="8" w:space="0" w:color="auto"/>
            </w:tcBorders>
            <w:shd w:val="clear" w:color="auto" w:fill="auto"/>
            <w:noWrap/>
            <w:vAlign w:val="bottom"/>
            <w:hideMark/>
          </w:tcPr>
          <w:p w14:paraId="6294285C"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5,5%</w:t>
            </w:r>
          </w:p>
        </w:tc>
      </w:tr>
      <w:tr w:rsidR="002258B0" w:rsidRPr="00EA175D" w14:paraId="029FAF10" w14:textId="77777777" w:rsidTr="003E6392">
        <w:trPr>
          <w:trHeight w:val="540"/>
        </w:trPr>
        <w:tc>
          <w:tcPr>
            <w:tcW w:w="4433" w:type="dxa"/>
            <w:tcBorders>
              <w:top w:val="nil"/>
              <w:left w:val="single" w:sz="8" w:space="0" w:color="auto"/>
              <w:bottom w:val="single" w:sz="4" w:space="0" w:color="auto"/>
              <w:right w:val="single" w:sz="4" w:space="0" w:color="auto"/>
            </w:tcBorders>
            <w:shd w:val="clear" w:color="auto" w:fill="auto"/>
            <w:noWrap/>
            <w:vAlign w:val="bottom"/>
            <w:hideMark/>
          </w:tcPr>
          <w:p w14:paraId="0B7D70BA"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 xml:space="preserve">До 40г. </w:t>
            </w:r>
          </w:p>
        </w:tc>
        <w:tc>
          <w:tcPr>
            <w:tcW w:w="3034" w:type="dxa"/>
            <w:tcBorders>
              <w:top w:val="nil"/>
              <w:left w:val="nil"/>
              <w:bottom w:val="single" w:sz="4" w:space="0" w:color="auto"/>
              <w:right w:val="single" w:sz="4" w:space="0" w:color="auto"/>
            </w:tcBorders>
            <w:shd w:val="clear" w:color="auto" w:fill="auto"/>
            <w:noWrap/>
            <w:vAlign w:val="bottom"/>
            <w:hideMark/>
          </w:tcPr>
          <w:p w14:paraId="665A3DB9"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240</w:t>
            </w:r>
          </w:p>
        </w:tc>
        <w:tc>
          <w:tcPr>
            <w:tcW w:w="1113" w:type="dxa"/>
            <w:tcBorders>
              <w:top w:val="nil"/>
              <w:left w:val="nil"/>
              <w:bottom w:val="single" w:sz="4" w:space="0" w:color="auto"/>
              <w:right w:val="single" w:sz="8" w:space="0" w:color="auto"/>
            </w:tcBorders>
            <w:shd w:val="clear" w:color="auto" w:fill="auto"/>
            <w:noWrap/>
            <w:vAlign w:val="bottom"/>
            <w:hideMark/>
          </w:tcPr>
          <w:p w14:paraId="2EFEDE37"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37,0%</w:t>
            </w:r>
          </w:p>
        </w:tc>
      </w:tr>
      <w:tr w:rsidR="002258B0" w:rsidRPr="00EA175D" w14:paraId="470A81BF" w14:textId="77777777" w:rsidTr="003E6392">
        <w:trPr>
          <w:trHeight w:val="540"/>
        </w:trPr>
        <w:tc>
          <w:tcPr>
            <w:tcW w:w="4433" w:type="dxa"/>
            <w:tcBorders>
              <w:top w:val="nil"/>
              <w:left w:val="single" w:sz="8" w:space="0" w:color="auto"/>
              <w:bottom w:val="single" w:sz="4" w:space="0" w:color="auto"/>
              <w:right w:val="single" w:sz="4" w:space="0" w:color="auto"/>
            </w:tcBorders>
            <w:shd w:val="clear" w:color="auto" w:fill="auto"/>
            <w:noWrap/>
            <w:vAlign w:val="bottom"/>
            <w:hideMark/>
          </w:tcPr>
          <w:p w14:paraId="430BAC70"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 xml:space="preserve">До 50г. </w:t>
            </w:r>
          </w:p>
        </w:tc>
        <w:tc>
          <w:tcPr>
            <w:tcW w:w="3034" w:type="dxa"/>
            <w:tcBorders>
              <w:top w:val="nil"/>
              <w:left w:val="nil"/>
              <w:bottom w:val="single" w:sz="4" w:space="0" w:color="auto"/>
              <w:right w:val="single" w:sz="4" w:space="0" w:color="auto"/>
            </w:tcBorders>
            <w:shd w:val="clear" w:color="auto" w:fill="auto"/>
            <w:noWrap/>
            <w:vAlign w:val="bottom"/>
            <w:hideMark/>
          </w:tcPr>
          <w:p w14:paraId="31E3244D"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288</w:t>
            </w:r>
          </w:p>
        </w:tc>
        <w:tc>
          <w:tcPr>
            <w:tcW w:w="1113" w:type="dxa"/>
            <w:tcBorders>
              <w:top w:val="nil"/>
              <w:left w:val="nil"/>
              <w:bottom w:val="single" w:sz="4" w:space="0" w:color="auto"/>
              <w:right w:val="single" w:sz="8" w:space="0" w:color="auto"/>
            </w:tcBorders>
            <w:shd w:val="clear" w:color="auto" w:fill="auto"/>
            <w:noWrap/>
            <w:vAlign w:val="bottom"/>
            <w:hideMark/>
          </w:tcPr>
          <w:p w14:paraId="71F45FC2"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44,0%</w:t>
            </w:r>
          </w:p>
        </w:tc>
      </w:tr>
      <w:tr w:rsidR="002258B0" w:rsidRPr="00EA175D" w14:paraId="5F1E0BE0" w14:textId="77777777" w:rsidTr="003E6392">
        <w:trPr>
          <w:trHeight w:val="540"/>
        </w:trPr>
        <w:tc>
          <w:tcPr>
            <w:tcW w:w="4433" w:type="dxa"/>
            <w:tcBorders>
              <w:top w:val="nil"/>
              <w:left w:val="single" w:sz="8" w:space="0" w:color="auto"/>
              <w:bottom w:val="single" w:sz="4" w:space="0" w:color="auto"/>
              <w:right w:val="single" w:sz="4" w:space="0" w:color="auto"/>
            </w:tcBorders>
            <w:shd w:val="clear" w:color="auto" w:fill="auto"/>
            <w:noWrap/>
            <w:vAlign w:val="bottom"/>
            <w:hideMark/>
          </w:tcPr>
          <w:p w14:paraId="7920685B"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 xml:space="preserve">До 65г. </w:t>
            </w:r>
          </w:p>
        </w:tc>
        <w:tc>
          <w:tcPr>
            <w:tcW w:w="3034" w:type="dxa"/>
            <w:tcBorders>
              <w:top w:val="nil"/>
              <w:left w:val="nil"/>
              <w:bottom w:val="single" w:sz="4" w:space="0" w:color="auto"/>
              <w:right w:val="single" w:sz="4" w:space="0" w:color="auto"/>
            </w:tcBorders>
            <w:shd w:val="clear" w:color="auto" w:fill="auto"/>
            <w:noWrap/>
            <w:vAlign w:val="bottom"/>
            <w:hideMark/>
          </w:tcPr>
          <w:p w14:paraId="6B506171"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55</w:t>
            </w:r>
          </w:p>
        </w:tc>
        <w:tc>
          <w:tcPr>
            <w:tcW w:w="1113" w:type="dxa"/>
            <w:tcBorders>
              <w:top w:val="nil"/>
              <w:left w:val="nil"/>
              <w:bottom w:val="single" w:sz="4" w:space="0" w:color="auto"/>
              <w:right w:val="single" w:sz="8" w:space="0" w:color="auto"/>
            </w:tcBorders>
            <w:shd w:val="clear" w:color="auto" w:fill="auto"/>
            <w:noWrap/>
            <w:vAlign w:val="bottom"/>
            <w:hideMark/>
          </w:tcPr>
          <w:p w14:paraId="05B72BF5"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8,5%</w:t>
            </w:r>
          </w:p>
        </w:tc>
      </w:tr>
      <w:tr w:rsidR="002258B0" w:rsidRPr="00EA175D" w14:paraId="26A574ED" w14:textId="77777777" w:rsidTr="003E6392">
        <w:trPr>
          <w:trHeight w:val="540"/>
        </w:trPr>
        <w:tc>
          <w:tcPr>
            <w:tcW w:w="4433" w:type="dxa"/>
            <w:tcBorders>
              <w:top w:val="nil"/>
              <w:left w:val="single" w:sz="8" w:space="0" w:color="auto"/>
              <w:bottom w:val="single" w:sz="8" w:space="0" w:color="auto"/>
              <w:right w:val="single" w:sz="4" w:space="0" w:color="auto"/>
            </w:tcBorders>
            <w:shd w:val="clear" w:color="auto" w:fill="auto"/>
            <w:noWrap/>
            <w:vAlign w:val="bottom"/>
            <w:hideMark/>
          </w:tcPr>
          <w:p w14:paraId="1EBA8138"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 xml:space="preserve">Над 65г. </w:t>
            </w:r>
          </w:p>
        </w:tc>
        <w:tc>
          <w:tcPr>
            <w:tcW w:w="3034" w:type="dxa"/>
            <w:tcBorders>
              <w:top w:val="nil"/>
              <w:left w:val="nil"/>
              <w:bottom w:val="single" w:sz="8" w:space="0" w:color="auto"/>
              <w:right w:val="single" w:sz="4" w:space="0" w:color="auto"/>
            </w:tcBorders>
            <w:shd w:val="clear" w:color="auto" w:fill="auto"/>
            <w:noWrap/>
            <w:vAlign w:val="bottom"/>
            <w:hideMark/>
          </w:tcPr>
          <w:p w14:paraId="73FC09F2"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16</w:t>
            </w:r>
          </w:p>
        </w:tc>
        <w:tc>
          <w:tcPr>
            <w:tcW w:w="1113" w:type="dxa"/>
            <w:tcBorders>
              <w:top w:val="nil"/>
              <w:left w:val="nil"/>
              <w:bottom w:val="single" w:sz="8" w:space="0" w:color="auto"/>
              <w:right w:val="single" w:sz="8" w:space="0" w:color="auto"/>
            </w:tcBorders>
            <w:shd w:val="clear" w:color="auto" w:fill="auto"/>
            <w:noWrap/>
            <w:vAlign w:val="bottom"/>
            <w:hideMark/>
          </w:tcPr>
          <w:p w14:paraId="2716897E"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2,5%</w:t>
            </w:r>
          </w:p>
        </w:tc>
      </w:tr>
    </w:tbl>
    <w:p w14:paraId="34836CE2" w14:textId="77777777" w:rsidR="002258B0" w:rsidRPr="00EA175D" w:rsidRDefault="002258B0" w:rsidP="00EA175D">
      <w:pPr>
        <w:spacing w:line="360" w:lineRule="auto"/>
        <w:jc w:val="both"/>
        <w:rPr>
          <w:rFonts w:eastAsiaTheme="minorEastAsia"/>
          <w:color w:val="FF0000"/>
        </w:rPr>
      </w:pPr>
    </w:p>
    <w:p w14:paraId="30F4EA33" w14:textId="77777777" w:rsidR="002258B0" w:rsidRPr="00EA175D" w:rsidRDefault="002258B0" w:rsidP="00EA175D">
      <w:pPr>
        <w:spacing w:line="360" w:lineRule="auto"/>
        <w:jc w:val="both"/>
        <w:rPr>
          <w:rFonts w:eastAsiaTheme="minorEastAsia"/>
        </w:rPr>
      </w:pPr>
      <w:r w:rsidRPr="00EA175D">
        <w:rPr>
          <w:rFonts w:eastAsiaTheme="minorEastAsia"/>
        </w:rPr>
        <w:t>Според образованието 48% са посочили, че са със средно образование, а 42% са с висше.</w:t>
      </w:r>
    </w:p>
    <w:p w14:paraId="3EC98709" w14:textId="77777777" w:rsidR="002258B0" w:rsidRPr="00EA175D" w:rsidRDefault="002258B0" w:rsidP="00EA175D">
      <w:pPr>
        <w:spacing w:line="360" w:lineRule="auto"/>
        <w:jc w:val="both"/>
        <w:rPr>
          <w:rFonts w:eastAsiaTheme="minorEastAsia"/>
          <w:color w:val="FF0000"/>
        </w:rPr>
      </w:pPr>
    </w:p>
    <w:tbl>
      <w:tblPr>
        <w:tblW w:w="8581" w:type="dxa"/>
        <w:tblLook w:val="04A0" w:firstRow="1" w:lastRow="0" w:firstColumn="1" w:lastColumn="0" w:noHBand="0" w:noVBand="1"/>
      </w:tblPr>
      <w:tblGrid>
        <w:gridCol w:w="3225"/>
        <w:gridCol w:w="4233"/>
        <w:gridCol w:w="1123"/>
      </w:tblGrid>
      <w:tr w:rsidR="002258B0" w:rsidRPr="00EA175D" w14:paraId="586C8CF2" w14:textId="77777777" w:rsidTr="003E6392">
        <w:trPr>
          <w:trHeight w:val="540"/>
        </w:trPr>
        <w:tc>
          <w:tcPr>
            <w:tcW w:w="8581" w:type="dxa"/>
            <w:gridSpan w:val="3"/>
            <w:tcBorders>
              <w:top w:val="nil"/>
              <w:left w:val="nil"/>
              <w:bottom w:val="single" w:sz="8" w:space="0" w:color="auto"/>
              <w:right w:val="nil"/>
            </w:tcBorders>
            <w:shd w:val="clear" w:color="auto" w:fill="auto"/>
            <w:noWrap/>
            <w:vAlign w:val="bottom"/>
            <w:hideMark/>
          </w:tcPr>
          <w:p w14:paraId="544E3C4F"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Разпределение на анкетираните по образование</w:t>
            </w:r>
          </w:p>
        </w:tc>
      </w:tr>
      <w:tr w:rsidR="002258B0" w:rsidRPr="00EA175D" w14:paraId="68D9BF2B" w14:textId="77777777" w:rsidTr="003E6392">
        <w:trPr>
          <w:trHeight w:val="540"/>
        </w:trPr>
        <w:tc>
          <w:tcPr>
            <w:tcW w:w="3225" w:type="dxa"/>
            <w:tcBorders>
              <w:top w:val="nil"/>
              <w:left w:val="single" w:sz="8" w:space="0" w:color="auto"/>
              <w:bottom w:val="single" w:sz="4" w:space="0" w:color="auto"/>
              <w:right w:val="single" w:sz="4" w:space="0" w:color="auto"/>
            </w:tcBorders>
            <w:shd w:val="clear" w:color="auto" w:fill="auto"/>
            <w:noWrap/>
            <w:vAlign w:val="bottom"/>
            <w:hideMark/>
          </w:tcPr>
          <w:p w14:paraId="57680F7B"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Образование</w:t>
            </w:r>
          </w:p>
        </w:tc>
        <w:tc>
          <w:tcPr>
            <w:tcW w:w="4233" w:type="dxa"/>
            <w:tcBorders>
              <w:top w:val="nil"/>
              <w:left w:val="nil"/>
              <w:bottom w:val="single" w:sz="4" w:space="0" w:color="auto"/>
              <w:right w:val="single" w:sz="4" w:space="0" w:color="auto"/>
            </w:tcBorders>
            <w:shd w:val="clear" w:color="auto" w:fill="auto"/>
            <w:noWrap/>
            <w:vAlign w:val="bottom"/>
            <w:hideMark/>
          </w:tcPr>
          <w:p w14:paraId="4E26CD48"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Брой анкетирани</w:t>
            </w:r>
          </w:p>
        </w:tc>
        <w:tc>
          <w:tcPr>
            <w:tcW w:w="1123" w:type="dxa"/>
            <w:tcBorders>
              <w:top w:val="nil"/>
              <w:left w:val="nil"/>
              <w:bottom w:val="single" w:sz="4" w:space="0" w:color="auto"/>
              <w:right w:val="single" w:sz="8" w:space="0" w:color="auto"/>
            </w:tcBorders>
            <w:shd w:val="clear" w:color="auto" w:fill="auto"/>
            <w:noWrap/>
            <w:vAlign w:val="bottom"/>
            <w:hideMark/>
          </w:tcPr>
          <w:p w14:paraId="419E16B4"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w:t>
            </w:r>
          </w:p>
        </w:tc>
      </w:tr>
      <w:tr w:rsidR="002258B0" w:rsidRPr="00EA175D" w14:paraId="6CCC1CEF" w14:textId="77777777" w:rsidTr="003E6392">
        <w:trPr>
          <w:trHeight w:val="540"/>
        </w:trPr>
        <w:tc>
          <w:tcPr>
            <w:tcW w:w="3225" w:type="dxa"/>
            <w:tcBorders>
              <w:top w:val="nil"/>
              <w:left w:val="single" w:sz="8" w:space="0" w:color="auto"/>
              <w:bottom w:val="single" w:sz="4" w:space="0" w:color="auto"/>
              <w:right w:val="single" w:sz="4" w:space="0" w:color="auto"/>
            </w:tcBorders>
            <w:shd w:val="clear" w:color="auto" w:fill="auto"/>
            <w:noWrap/>
            <w:vAlign w:val="bottom"/>
            <w:hideMark/>
          </w:tcPr>
          <w:p w14:paraId="0487D547"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Висше</w:t>
            </w:r>
          </w:p>
        </w:tc>
        <w:tc>
          <w:tcPr>
            <w:tcW w:w="4233" w:type="dxa"/>
            <w:tcBorders>
              <w:top w:val="nil"/>
              <w:left w:val="nil"/>
              <w:bottom w:val="single" w:sz="4" w:space="0" w:color="auto"/>
              <w:right w:val="single" w:sz="4" w:space="0" w:color="auto"/>
            </w:tcBorders>
            <w:shd w:val="clear" w:color="auto" w:fill="auto"/>
            <w:noWrap/>
            <w:vAlign w:val="bottom"/>
            <w:hideMark/>
          </w:tcPr>
          <w:p w14:paraId="6A0DB38C"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269</w:t>
            </w:r>
          </w:p>
        </w:tc>
        <w:tc>
          <w:tcPr>
            <w:tcW w:w="1123" w:type="dxa"/>
            <w:tcBorders>
              <w:top w:val="nil"/>
              <w:left w:val="nil"/>
              <w:bottom w:val="single" w:sz="4" w:space="0" w:color="auto"/>
              <w:right w:val="single" w:sz="8" w:space="0" w:color="auto"/>
            </w:tcBorders>
            <w:shd w:val="clear" w:color="auto" w:fill="auto"/>
            <w:noWrap/>
            <w:vAlign w:val="bottom"/>
            <w:hideMark/>
          </w:tcPr>
          <w:p w14:paraId="2AADE8E3"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42%</w:t>
            </w:r>
          </w:p>
        </w:tc>
      </w:tr>
      <w:tr w:rsidR="002258B0" w:rsidRPr="00EA175D" w14:paraId="08E91705" w14:textId="77777777" w:rsidTr="003E6392">
        <w:trPr>
          <w:trHeight w:val="540"/>
        </w:trPr>
        <w:tc>
          <w:tcPr>
            <w:tcW w:w="3225" w:type="dxa"/>
            <w:tcBorders>
              <w:top w:val="nil"/>
              <w:left w:val="single" w:sz="8" w:space="0" w:color="auto"/>
              <w:bottom w:val="single" w:sz="4" w:space="0" w:color="auto"/>
              <w:right w:val="single" w:sz="4" w:space="0" w:color="auto"/>
            </w:tcBorders>
            <w:shd w:val="clear" w:color="auto" w:fill="auto"/>
            <w:noWrap/>
            <w:vAlign w:val="bottom"/>
            <w:hideMark/>
          </w:tcPr>
          <w:p w14:paraId="6D7F002C"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Средно</w:t>
            </w:r>
          </w:p>
        </w:tc>
        <w:tc>
          <w:tcPr>
            <w:tcW w:w="4233" w:type="dxa"/>
            <w:tcBorders>
              <w:top w:val="nil"/>
              <w:left w:val="nil"/>
              <w:bottom w:val="single" w:sz="4" w:space="0" w:color="auto"/>
              <w:right w:val="single" w:sz="4" w:space="0" w:color="auto"/>
            </w:tcBorders>
            <w:shd w:val="clear" w:color="auto" w:fill="auto"/>
            <w:noWrap/>
            <w:vAlign w:val="bottom"/>
            <w:hideMark/>
          </w:tcPr>
          <w:p w14:paraId="3C3681DC"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307</w:t>
            </w:r>
          </w:p>
        </w:tc>
        <w:tc>
          <w:tcPr>
            <w:tcW w:w="1123" w:type="dxa"/>
            <w:tcBorders>
              <w:top w:val="nil"/>
              <w:left w:val="nil"/>
              <w:bottom w:val="single" w:sz="4" w:space="0" w:color="auto"/>
              <w:right w:val="single" w:sz="8" w:space="0" w:color="auto"/>
            </w:tcBorders>
            <w:shd w:val="clear" w:color="auto" w:fill="auto"/>
            <w:noWrap/>
            <w:vAlign w:val="bottom"/>
            <w:hideMark/>
          </w:tcPr>
          <w:p w14:paraId="1220A1BA"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48%</w:t>
            </w:r>
          </w:p>
        </w:tc>
      </w:tr>
      <w:tr w:rsidR="002258B0" w:rsidRPr="00EA175D" w14:paraId="3C03398E" w14:textId="77777777" w:rsidTr="003E6392">
        <w:trPr>
          <w:trHeight w:val="540"/>
        </w:trPr>
        <w:tc>
          <w:tcPr>
            <w:tcW w:w="3225" w:type="dxa"/>
            <w:tcBorders>
              <w:top w:val="nil"/>
              <w:left w:val="single" w:sz="8" w:space="0" w:color="auto"/>
              <w:bottom w:val="single" w:sz="8" w:space="0" w:color="auto"/>
              <w:right w:val="single" w:sz="4" w:space="0" w:color="auto"/>
            </w:tcBorders>
            <w:shd w:val="clear" w:color="auto" w:fill="auto"/>
            <w:noWrap/>
            <w:vAlign w:val="bottom"/>
            <w:hideMark/>
          </w:tcPr>
          <w:p w14:paraId="7124C200"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Основно</w:t>
            </w:r>
          </w:p>
        </w:tc>
        <w:tc>
          <w:tcPr>
            <w:tcW w:w="4233" w:type="dxa"/>
            <w:tcBorders>
              <w:top w:val="nil"/>
              <w:left w:val="nil"/>
              <w:bottom w:val="single" w:sz="8" w:space="0" w:color="auto"/>
              <w:right w:val="single" w:sz="4" w:space="0" w:color="auto"/>
            </w:tcBorders>
            <w:shd w:val="clear" w:color="auto" w:fill="auto"/>
            <w:noWrap/>
            <w:vAlign w:val="bottom"/>
            <w:hideMark/>
          </w:tcPr>
          <w:p w14:paraId="2A337A21"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64</w:t>
            </w:r>
          </w:p>
        </w:tc>
        <w:tc>
          <w:tcPr>
            <w:tcW w:w="1123" w:type="dxa"/>
            <w:tcBorders>
              <w:top w:val="nil"/>
              <w:left w:val="nil"/>
              <w:bottom w:val="single" w:sz="8" w:space="0" w:color="auto"/>
              <w:right w:val="single" w:sz="8" w:space="0" w:color="auto"/>
            </w:tcBorders>
            <w:shd w:val="clear" w:color="auto" w:fill="auto"/>
            <w:noWrap/>
            <w:vAlign w:val="bottom"/>
            <w:hideMark/>
          </w:tcPr>
          <w:p w14:paraId="13E10ED8"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10%</w:t>
            </w:r>
          </w:p>
        </w:tc>
      </w:tr>
    </w:tbl>
    <w:p w14:paraId="62C3C231" w14:textId="77777777" w:rsidR="002258B0" w:rsidRPr="00EA175D" w:rsidRDefault="002258B0" w:rsidP="00EA175D">
      <w:pPr>
        <w:spacing w:line="360" w:lineRule="auto"/>
        <w:jc w:val="both"/>
        <w:rPr>
          <w:rFonts w:eastAsiaTheme="minorEastAsia"/>
          <w:color w:val="FF0000"/>
        </w:rPr>
      </w:pPr>
    </w:p>
    <w:p w14:paraId="0AFDC831" w14:textId="69707438" w:rsidR="002258B0" w:rsidRPr="00EA175D" w:rsidRDefault="002258B0" w:rsidP="00EA175D">
      <w:pPr>
        <w:spacing w:line="360" w:lineRule="auto"/>
        <w:jc w:val="both"/>
        <w:rPr>
          <w:rFonts w:eastAsiaTheme="minorEastAsia"/>
        </w:rPr>
      </w:pPr>
      <w:r w:rsidRPr="00EA175D">
        <w:rPr>
          <w:rFonts w:eastAsiaTheme="minorEastAsia"/>
        </w:rPr>
        <w:t xml:space="preserve">На </w:t>
      </w:r>
      <w:r w:rsidR="006949D8" w:rsidRPr="00EA175D">
        <w:rPr>
          <w:rFonts w:eastAsiaTheme="minorEastAsia"/>
        </w:rPr>
        <w:t>отговор</w:t>
      </w:r>
      <w:r w:rsidR="006949D8">
        <w:rPr>
          <w:rFonts w:eastAsiaTheme="minorEastAsia"/>
        </w:rPr>
        <w:t>а</w:t>
      </w:r>
      <w:r w:rsidR="006949D8" w:rsidRPr="00EA175D">
        <w:rPr>
          <w:rFonts w:eastAsiaTheme="minorEastAsia"/>
        </w:rPr>
        <w:t xml:space="preserve"> </w:t>
      </w:r>
      <w:r w:rsidRPr="00EA175D">
        <w:rPr>
          <w:rFonts w:eastAsiaTheme="minorEastAsia"/>
        </w:rPr>
        <w:t xml:space="preserve">на въпроса „занимание“,  82 % са отговорили, че са работещи, като по-голямата част от тях са заети в частния сектор – 68%. Анкетираните, които попадат в групата на учащи се и пенсионери е минимална – 32 от анкетираните, което представлява едва 5 на сто от групата. В държавният сектор заетите са 32 на сто, а в неправителственият няма представители в анкетата. </w:t>
      </w:r>
    </w:p>
    <w:p w14:paraId="44F5B2FA" w14:textId="77777777" w:rsidR="002258B0" w:rsidRPr="00EA175D" w:rsidRDefault="002258B0" w:rsidP="00EA175D">
      <w:pPr>
        <w:spacing w:line="360" w:lineRule="auto"/>
        <w:jc w:val="both"/>
        <w:rPr>
          <w:rFonts w:eastAsiaTheme="minorEastAsia"/>
        </w:rPr>
      </w:pPr>
      <w:r w:rsidRPr="00EA175D">
        <w:rPr>
          <w:rFonts w:eastAsiaTheme="minorEastAsia"/>
        </w:rPr>
        <w:t xml:space="preserve">Важна част от въпросите включени в анкетата са насочени към оценка на дейността на местните инициативни групи и това представляват </w:t>
      </w:r>
      <w:r w:rsidRPr="00EA175D">
        <w:rPr>
          <w:rFonts w:eastAsiaTheme="minorEastAsia"/>
          <w:b/>
        </w:rPr>
        <w:t>втората група</w:t>
      </w:r>
      <w:r w:rsidRPr="00EA175D">
        <w:rPr>
          <w:rFonts w:eastAsiaTheme="minorEastAsia"/>
        </w:rPr>
        <w:t xml:space="preserve"> въпроси.</w:t>
      </w:r>
    </w:p>
    <w:p w14:paraId="20DFFCFC" w14:textId="77777777" w:rsidR="002258B0" w:rsidRPr="00EA175D" w:rsidRDefault="002258B0" w:rsidP="00EA175D">
      <w:pPr>
        <w:spacing w:line="360" w:lineRule="auto"/>
        <w:jc w:val="both"/>
        <w:rPr>
          <w:rFonts w:eastAsiaTheme="minorEastAsia"/>
        </w:rPr>
      </w:pPr>
      <w:r w:rsidRPr="00EA175D">
        <w:rPr>
          <w:rFonts w:eastAsiaTheme="minorEastAsia"/>
        </w:rPr>
        <w:t>На въпросът „Имате ли информация относно съществуването на МИГ“ положително са отговорили 84 на сто от анкетираните (538 човека). Останалите 16 % няма информация. Данните от отговорът на този въпрос може да се възприеме, като положителен за познанието на местната общност относно работата на МИГ.</w:t>
      </w:r>
    </w:p>
    <w:p w14:paraId="4BF9130F" w14:textId="77777777" w:rsidR="002258B0" w:rsidRPr="00EA175D" w:rsidRDefault="002258B0" w:rsidP="00EA175D">
      <w:pPr>
        <w:spacing w:line="360" w:lineRule="auto"/>
        <w:jc w:val="both"/>
        <w:rPr>
          <w:rFonts w:eastAsiaTheme="minorEastAsia"/>
        </w:rPr>
      </w:pPr>
      <w:r w:rsidRPr="00EA175D">
        <w:rPr>
          <w:rFonts w:eastAsiaTheme="minorEastAsia"/>
        </w:rPr>
        <w:t xml:space="preserve">Информацията за съществуването и дейността на МИГ анкетираните са получили основно от интернет и социалните мрежи - близо 64 на сто от запитаните ( 410 човека) отговарят положително на този въпрос. От приятели, колеги, роднини са се информирали 18 на сто, а от медиите – 8%. Сайтовете на местните инициативни групи са възможност за получаване на информация само за 10 на сто анкетираните. </w:t>
      </w:r>
    </w:p>
    <w:p w14:paraId="2D5CF32D" w14:textId="77777777" w:rsidR="002258B0" w:rsidRPr="00EA175D" w:rsidRDefault="002258B0" w:rsidP="00EA175D">
      <w:pPr>
        <w:spacing w:line="360" w:lineRule="auto"/>
        <w:jc w:val="both"/>
        <w:rPr>
          <w:rFonts w:eastAsiaTheme="minorEastAsia"/>
          <w:color w:val="FF0000"/>
        </w:rPr>
      </w:pPr>
    </w:p>
    <w:tbl>
      <w:tblPr>
        <w:tblW w:w="8647" w:type="dxa"/>
        <w:tblInd w:w="392" w:type="dxa"/>
        <w:tblLook w:val="04A0" w:firstRow="1" w:lastRow="0" w:firstColumn="1" w:lastColumn="0" w:noHBand="0" w:noVBand="1"/>
      </w:tblPr>
      <w:tblGrid>
        <w:gridCol w:w="4157"/>
        <w:gridCol w:w="3186"/>
        <w:gridCol w:w="1304"/>
      </w:tblGrid>
      <w:tr w:rsidR="002258B0" w:rsidRPr="00EA175D" w14:paraId="6424061C" w14:textId="77777777" w:rsidTr="00B00E7A">
        <w:trPr>
          <w:trHeight w:val="540"/>
        </w:trPr>
        <w:tc>
          <w:tcPr>
            <w:tcW w:w="8647" w:type="dxa"/>
            <w:gridSpan w:val="3"/>
            <w:tcBorders>
              <w:top w:val="nil"/>
              <w:left w:val="nil"/>
              <w:bottom w:val="single" w:sz="8" w:space="0" w:color="auto"/>
              <w:right w:val="nil"/>
            </w:tcBorders>
            <w:shd w:val="clear" w:color="auto" w:fill="auto"/>
            <w:noWrap/>
            <w:vAlign w:val="bottom"/>
            <w:hideMark/>
          </w:tcPr>
          <w:p w14:paraId="61E9DF2F"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lastRenderedPageBreak/>
              <w:t>Канали на информация</w:t>
            </w:r>
          </w:p>
        </w:tc>
      </w:tr>
      <w:tr w:rsidR="002258B0" w:rsidRPr="00EA175D" w14:paraId="2566D472" w14:textId="77777777" w:rsidTr="00B00E7A">
        <w:trPr>
          <w:trHeight w:val="540"/>
        </w:trPr>
        <w:tc>
          <w:tcPr>
            <w:tcW w:w="4157" w:type="dxa"/>
            <w:tcBorders>
              <w:top w:val="nil"/>
              <w:left w:val="single" w:sz="8" w:space="0" w:color="auto"/>
              <w:bottom w:val="single" w:sz="4" w:space="0" w:color="auto"/>
              <w:right w:val="single" w:sz="4" w:space="0" w:color="auto"/>
            </w:tcBorders>
            <w:shd w:val="clear" w:color="auto" w:fill="auto"/>
            <w:noWrap/>
            <w:vAlign w:val="bottom"/>
            <w:hideMark/>
          </w:tcPr>
          <w:p w14:paraId="550B398F"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Информация за МИГ</w:t>
            </w:r>
          </w:p>
        </w:tc>
        <w:tc>
          <w:tcPr>
            <w:tcW w:w="3186" w:type="dxa"/>
            <w:tcBorders>
              <w:top w:val="nil"/>
              <w:left w:val="nil"/>
              <w:bottom w:val="single" w:sz="4" w:space="0" w:color="auto"/>
              <w:right w:val="single" w:sz="4" w:space="0" w:color="auto"/>
            </w:tcBorders>
            <w:shd w:val="clear" w:color="auto" w:fill="auto"/>
            <w:noWrap/>
            <w:vAlign w:val="bottom"/>
            <w:hideMark/>
          </w:tcPr>
          <w:p w14:paraId="2AAC178A"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Брой анкетирани</w:t>
            </w:r>
          </w:p>
        </w:tc>
        <w:tc>
          <w:tcPr>
            <w:tcW w:w="1304" w:type="dxa"/>
            <w:tcBorders>
              <w:top w:val="nil"/>
              <w:left w:val="nil"/>
              <w:bottom w:val="single" w:sz="4" w:space="0" w:color="auto"/>
              <w:right w:val="single" w:sz="8" w:space="0" w:color="auto"/>
            </w:tcBorders>
            <w:shd w:val="clear" w:color="auto" w:fill="auto"/>
            <w:noWrap/>
            <w:vAlign w:val="bottom"/>
            <w:hideMark/>
          </w:tcPr>
          <w:p w14:paraId="270FD4E3"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w:t>
            </w:r>
          </w:p>
        </w:tc>
      </w:tr>
      <w:tr w:rsidR="002258B0" w:rsidRPr="00EA175D" w14:paraId="04E4CF1E" w14:textId="77777777" w:rsidTr="00B00E7A">
        <w:trPr>
          <w:trHeight w:val="540"/>
        </w:trPr>
        <w:tc>
          <w:tcPr>
            <w:tcW w:w="4157" w:type="dxa"/>
            <w:tcBorders>
              <w:top w:val="nil"/>
              <w:left w:val="single" w:sz="8" w:space="0" w:color="auto"/>
              <w:bottom w:val="single" w:sz="4" w:space="0" w:color="auto"/>
              <w:right w:val="single" w:sz="4" w:space="0" w:color="auto"/>
            </w:tcBorders>
            <w:shd w:val="clear" w:color="auto" w:fill="auto"/>
            <w:noWrap/>
            <w:vAlign w:val="bottom"/>
            <w:hideMark/>
          </w:tcPr>
          <w:p w14:paraId="74F0D3EE"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Медии</w:t>
            </w:r>
          </w:p>
        </w:tc>
        <w:tc>
          <w:tcPr>
            <w:tcW w:w="3186" w:type="dxa"/>
            <w:tcBorders>
              <w:top w:val="nil"/>
              <w:left w:val="nil"/>
              <w:bottom w:val="single" w:sz="4" w:space="0" w:color="auto"/>
              <w:right w:val="single" w:sz="4" w:space="0" w:color="auto"/>
            </w:tcBorders>
            <w:shd w:val="clear" w:color="auto" w:fill="auto"/>
            <w:noWrap/>
            <w:vAlign w:val="bottom"/>
            <w:hideMark/>
          </w:tcPr>
          <w:p w14:paraId="55FF4C58"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51</w:t>
            </w:r>
          </w:p>
        </w:tc>
        <w:tc>
          <w:tcPr>
            <w:tcW w:w="1304" w:type="dxa"/>
            <w:tcBorders>
              <w:top w:val="nil"/>
              <w:left w:val="nil"/>
              <w:bottom w:val="single" w:sz="4" w:space="0" w:color="auto"/>
              <w:right w:val="single" w:sz="8" w:space="0" w:color="auto"/>
            </w:tcBorders>
            <w:shd w:val="clear" w:color="auto" w:fill="auto"/>
            <w:noWrap/>
            <w:vAlign w:val="bottom"/>
            <w:hideMark/>
          </w:tcPr>
          <w:p w14:paraId="3E20A19D"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8%</w:t>
            </w:r>
          </w:p>
        </w:tc>
      </w:tr>
      <w:tr w:rsidR="002258B0" w:rsidRPr="00EA175D" w14:paraId="46ACD6E1" w14:textId="77777777" w:rsidTr="00B00E7A">
        <w:trPr>
          <w:trHeight w:val="645"/>
        </w:trPr>
        <w:tc>
          <w:tcPr>
            <w:tcW w:w="4157" w:type="dxa"/>
            <w:tcBorders>
              <w:top w:val="nil"/>
              <w:left w:val="single" w:sz="8" w:space="0" w:color="auto"/>
              <w:bottom w:val="single" w:sz="4" w:space="0" w:color="auto"/>
              <w:right w:val="single" w:sz="4" w:space="0" w:color="auto"/>
            </w:tcBorders>
            <w:shd w:val="clear" w:color="auto" w:fill="auto"/>
            <w:vAlign w:val="bottom"/>
            <w:hideMark/>
          </w:tcPr>
          <w:p w14:paraId="58EA6586"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Приятели, колеги, роднини</w:t>
            </w:r>
          </w:p>
        </w:tc>
        <w:tc>
          <w:tcPr>
            <w:tcW w:w="3186" w:type="dxa"/>
            <w:tcBorders>
              <w:top w:val="nil"/>
              <w:left w:val="nil"/>
              <w:bottom w:val="single" w:sz="4" w:space="0" w:color="auto"/>
              <w:right w:val="single" w:sz="4" w:space="0" w:color="auto"/>
            </w:tcBorders>
            <w:shd w:val="clear" w:color="auto" w:fill="auto"/>
            <w:noWrap/>
            <w:vAlign w:val="bottom"/>
            <w:hideMark/>
          </w:tcPr>
          <w:p w14:paraId="3345A54A"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115</w:t>
            </w:r>
          </w:p>
        </w:tc>
        <w:tc>
          <w:tcPr>
            <w:tcW w:w="1304" w:type="dxa"/>
            <w:tcBorders>
              <w:top w:val="nil"/>
              <w:left w:val="nil"/>
              <w:bottom w:val="single" w:sz="4" w:space="0" w:color="auto"/>
              <w:right w:val="single" w:sz="8" w:space="0" w:color="auto"/>
            </w:tcBorders>
            <w:shd w:val="clear" w:color="auto" w:fill="auto"/>
            <w:noWrap/>
            <w:vAlign w:val="bottom"/>
            <w:hideMark/>
          </w:tcPr>
          <w:p w14:paraId="11E2D909"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18%</w:t>
            </w:r>
          </w:p>
        </w:tc>
      </w:tr>
      <w:tr w:rsidR="002258B0" w:rsidRPr="00EA175D" w14:paraId="20927821" w14:textId="77777777" w:rsidTr="00B00E7A">
        <w:trPr>
          <w:trHeight w:val="645"/>
        </w:trPr>
        <w:tc>
          <w:tcPr>
            <w:tcW w:w="4157" w:type="dxa"/>
            <w:tcBorders>
              <w:top w:val="nil"/>
              <w:left w:val="single" w:sz="8" w:space="0" w:color="auto"/>
              <w:bottom w:val="single" w:sz="4" w:space="0" w:color="auto"/>
              <w:right w:val="single" w:sz="4" w:space="0" w:color="auto"/>
            </w:tcBorders>
            <w:shd w:val="clear" w:color="auto" w:fill="auto"/>
            <w:vAlign w:val="bottom"/>
            <w:hideMark/>
          </w:tcPr>
          <w:p w14:paraId="6FBC60CF"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Интернет и социални мрежи</w:t>
            </w:r>
          </w:p>
        </w:tc>
        <w:tc>
          <w:tcPr>
            <w:tcW w:w="3186" w:type="dxa"/>
            <w:tcBorders>
              <w:top w:val="nil"/>
              <w:left w:val="nil"/>
              <w:bottom w:val="single" w:sz="4" w:space="0" w:color="auto"/>
              <w:right w:val="single" w:sz="4" w:space="0" w:color="auto"/>
            </w:tcBorders>
            <w:shd w:val="clear" w:color="auto" w:fill="auto"/>
            <w:noWrap/>
            <w:vAlign w:val="bottom"/>
            <w:hideMark/>
          </w:tcPr>
          <w:p w14:paraId="28DAD4B2"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410</w:t>
            </w:r>
          </w:p>
        </w:tc>
        <w:tc>
          <w:tcPr>
            <w:tcW w:w="1304" w:type="dxa"/>
            <w:tcBorders>
              <w:top w:val="nil"/>
              <w:left w:val="nil"/>
              <w:bottom w:val="single" w:sz="4" w:space="0" w:color="auto"/>
              <w:right w:val="single" w:sz="8" w:space="0" w:color="auto"/>
            </w:tcBorders>
            <w:shd w:val="clear" w:color="auto" w:fill="auto"/>
            <w:noWrap/>
            <w:vAlign w:val="bottom"/>
            <w:hideMark/>
          </w:tcPr>
          <w:p w14:paraId="6E1E6EED"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64%</w:t>
            </w:r>
          </w:p>
        </w:tc>
      </w:tr>
      <w:tr w:rsidR="002258B0" w:rsidRPr="00EA175D" w14:paraId="159F5D45" w14:textId="77777777" w:rsidTr="00B00E7A">
        <w:trPr>
          <w:trHeight w:val="645"/>
        </w:trPr>
        <w:tc>
          <w:tcPr>
            <w:tcW w:w="4157" w:type="dxa"/>
            <w:tcBorders>
              <w:top w:val="nil"/>
              <w:left w:val="single" w:sz="8" w:space="0" w:color="auto"/>
              <w:bottom w:val="single" w:sz="8" w:space="0" w:color="auto"/>
              <w:right w:val="single" w:sz="4" w:space="0" w:color="auto"/>
            </w:tcBorders>
            <w:shd w:val="clear" w:color="auto" w:fill="auto"/>
            <w:noWrap/>
            <w:vAlign w:val="bottom"/>
            <w:hideMark/>
          </w:tcPr>
          <w:p w14:paraId="2E17518C"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Сайт на МИГ</w:t>
            </w:r>
          </w:p>
        </w:tc>
        <w:tc>
          <w:tcPr>
            <w:tcW w:w="3186" w:type="dxa"/>
            <w:tcBorders>
              <w:top w:val="nil"/>
              <w:left w:val="nil"/>
              <w:bottom w:val="single" w:sz="8" w:space="0" w:color="auto"/>
              <w:right w:val="single" w:sz="4" w:space="0" w:color="auto"/>
            </w:tcBorders>
            <w:shd w:val="clear" w:color="auto" w:fill="auto"/>
            <w:noWrap/>
            <w:vAlign w:val="bottom"/>
            <w:hideMark/>
          </w:tcPr>
          <w:p w14:paraId="4FA02D3E"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64</w:t>
            </w:r>
          </w:p>
        </w:tc>
        <w:tc>
          <w:tcPr>
            <w:tcW w:w="1304" w:type="dxa"/>
            <w:tcBorders>
              <w:top w:val="nil"/>
              <w:left w:val="nil"/>
              <w:bottom w:val="single" w:sz="8" w:space="0" w:color="auto"/>
              <w:right w:val="single" w:sz="8" w:space="0" w:color="auto"/>
            </w:tcBorders>
            <w:shd w:val="clear" w:color="auto" w:fill="auto"/>
            <w:noWrap/>
            <w:vAlign w:val="bottom"/>
            <w:hideMark/>
          </w:tcPr>
          <w:p w14:paraId="4EF48501"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10%</w:t>
            </w:r>
          </w:p>
        </w:tc>
      </w:tr>
    </w:tbl>
    <w:p w14:paraId="1DC9D4BE" w14:textId="77777777" w:rsidR="002258B0" w:rsidRPr="00EA175D" w:rsidRDefault="002258B0" w:rsidP="00EA175D">
      <w:pPr>
        <w:spacing w:line="360" w:lineRule="auto"/>
        <w:jc w:val="both"/>
        <w:rPr>
          <w:rFonts w:eastAsiaTheme="minorEastAsia"/>
        </w:rPr>
      </w:pPr>
    </w:p>
    <w:p w14:paraId="62F34B19" w14:textId="77777777" w:rsidR="002258B0" w:rsidRPr="00EA175D" w:rsidRDefault="002258B0" w:rsidP="00EA175D">
      <w:pPr>
        <w:spacing w:line="360" w:lineRule="auto"/>
        <w:jc w:val="both"/>
        <w:rPr>
          <w:rFonts w:eastAsiaTheme="minorEastAsia"/>
        </w:rPr>
      </w:pPr>
      <w:r w:rsidRPr="00EA175D">
        <w:rPr>
          <w:rFonts w:eastAsiaTheme="minorEastAsia"/>
        </w:rPr>
        <w:t xml:space="preserve">По-голямата част от анкетираните имат информация за съществуването на МИГ от 4 години ( 67% от анкетираните), а 22% определят период от 3 години. </w:t>
      </w:r>
    </w:p>
    <w:p w14:paraId="2A94E243" w14:textId="77777777" w:rsidR="002258B0" w:rsidRPr="00EA175D" w:rsidRDefault="002258B0" w:rsidP="00EA175D">
      <w:pPr>
        <w:spacing w:line="360" w:lineRule="auto"/>
        <w:jc w:val="both"/>
        <w:rPr>
          <w:rFonts w:eastAsiaTheme="minorEastAsia"/>
        </w:rPr>
      </w:pPr>
      <w:r w:rsidRPr="00EA175D">
        <w:rPr>
          <w:rFonts w:eastAsiaTheme="minorEastAsia"/>
        </w:rPr>
        <w:t>В по-голямата си част от анкетираните отговарят положително на въпрос № 4, 6 и 7. Те се отнасят до оценка от 1 до 5 на: работата на МИГ за развитие на територията; работата на МИГ по изпълнение на стратегията за ВОМР; работата на МИГ с местната общност. Отговорите се припокриват, като 67 на сто  (429 анкетирани) поставят най-високата оценка по предложената скала от едно до пет. Те считат, че МИГ работи за развитието на територията, оценяват положително работата с местната общност и считат, че се изпълнява в пълен размер стратегията на ВОМР.    С оценка „4“ определят работата на МИГ по посочените направления – 24% на анкетираните (154) , а с незадоволителна оценка „3“ – 9% ( 57).</w:t>
      </w:r>
    </w:p>
    <w:p w14:paraId="2CB8F890" w14:textId="77777777" w:rsidR="002258B0" w:rsidRPr="00EA175D" w:rsidRDefault="002258B0" w:rsidP="00EA175D">
      <w:pPr>
        <w:spacing w:line="360" w:lineRule="auto"/>
        <w:jc w:val="both"/>
        <w:rPr>
          <w:rFonts w:eastAsiaTheme="minorEastAsia"/>
        </w:rPr>
      </w:pPr>
      <w:r w:rsidRPr="00EA175D">
        <w:rPr>
          <w:rFonts w:eastAsiaTheme="minorEastAsia"/>
        </w:rPr>
        <w:t xml:space="preserve">Според отговорът на анкетираните на въпроса „ ..в каква степен съставът на Общото събрание на МИГ включва всички заинтересовани страни“, 467 от отговарят с оценка 4. Заедно с тези който поставят оценка 3 – 140 на брой може да се твърди, че общите събрания трябва да разширят своето представителство в степен в която да допринасят за подобряване цялостната дейност на МИГ. Само 33 от анкетираните считат, че не е необходима промяна в представителството и поставят оценка „5“. </w:t>
      </w:r>
    </w:p>
    <w:p w14:paraId="4F246615" w14:textId="77777777" w:rsidR="002258B0" w:rsidRPr="00EA175D" w:rsidRDefault="002258B0" w:rsidP="00EA175D">
      <w:pPr>
        <w:spacing w:line="360" w:lineRule="auto"/>
        <w:jc w:val="both"/>
        <w:rPr>
          <w:rFonts w:eastAsiaTheme="minorEastAsia"/>
        </w:rPr>
      </w:pPr>
      <w:r w:rsidRPr="00EA175D">
        <w:rPr>
          <w:rFonts w:eastAsiaTheme="minorEastAsia"/>
        </w:rPr>
        <w:lastRenderedPageBreak/>
        <w:t xml:space="preserve">По-голяма част от анкетираните считат, че квалификацията на екипа на МИГ е висока и това дава възможност той да си изпълнява задълженията – 510 от анкетираните поставят оценка „5“. </w:t>
      </w:r>
    </w:p>
    <w:p w14:paraId="426D0F31" w14:textId="77777777" w:rsidR="002258B0" w:rsidRPr="00EA175D" w:rsidRDefault="002258B0" w:rsidP="00EA175D">
      <w:pPr>
        <w:spacing w:line="360" w:lineRule="auto"/>
        <w:jc w:val="both"/>
        <w:rPr>
          <w:rFonts w:eastAsiaTheme="minorEastAsia"/>
        </w:rPr>
      </w:pPr>
      <w:r w:rsidRPr="00EA175D">
        <w:rPr>
          <w:rFonts w:eastAsiaTheme="minorEastAsia"/>
        </w:rPr>
        <w:t xml:space="preserve">Акцентът при </w:t>
      </w:r>
      <w:r w:rsidRPr="00EA175D">
        <w:rPr>
          <w:rFonts w:eastAsiaTheme="minorEastAsia"/>
          <w:b/>
        </w:rPr>
        <w:t>третата група въпроси</w:t>
      </w:r>
      <w:r w:rsidRPr="00EA175D">
        <w:rPr>
          <w:rFonts w:eastAsiaTheme="minorEastAsia"/>
        </w:rPr>
        <w:t xml:space="preserve"> е насочен към търсенето на достоверна информация относно Стратегията на ВОМР на МИГ.</w:t>
      </w:r>
    </w:p>
    <w:p w14:paraId="6CECA34A" w14:textId="77777777" w:rsidR="002258B0" w:rsidRPr="00EA175D" w:rsidRDefault="002258B0" w:rsidP="00EA175D">
      <w:pPr>
        <w:spacing w:line="360" w:lineRule="auto"/>
        <w:jc w:val="both"/>
        <w:rPr>
          <w:rFonts w:eastAsiaTheme="minorEastAsia"/>
        </w:rPr>
      </w:pPr>
      <w:r w:rsidRPr="00EA175D">
        <w:rPr>
          <w:rFonts w:eastAsiaTheme="minorEastAsia"/>
        </w:rPr>
        <w:t>Изпълняваните Стратегиите на Водени от общностите местно развитие (ВОМР) на местните инициативни групи МИГ са предпоставка за постигане на целите на всяка една общност. По-голяма част от анкетираните – 73 на сто имат информация и познават стратегиите на МИГ. На тази база тяхната оценка е „5“. Тези, които считат, че нямат достатъчно информация за стратегията на ВОМР представляват 12 на сто от анкетираните и те поставят оценка „4“.</w:t>
      </w:r>
    </w:p>
    <w:p w14:paraId="4D413B94" w14:textId="77777777" w:rsidR="002258B0" w:rsidRPr="00EA175D" w:rsidRDefault="002258B0" w:rsidP="00EA175D">
      <w:pPr>
        <w:spacing w:line="360" w:lineRule="auto"/>
        <w:jc w:val="both"/>
        <w:rPr>
          <w:rFonts w:eastAsiaTheme="minorEastAsia"/>
          <w:color w:val="FF0000"/>
        </w:rPr>
      </w:pPr>
    </w:p>
    <w:tbl>
      <w:tblPr>
        <w:tblW w:w="8647" w:type="dxa"/>
        <w:tblInd w:w="392" w:type="dxa"/>
        <w:tblLook w:val="04A0" w:firstRow="1" w:lastRow="0" w:firstColumn="1" w:lastColumn="0" w:noHBand="0" w:noVBand="1"/>
      </w:tblPr>
      <w:tblGrid>
        <w:gridCol w:w="4206"/>
        <w:gridCol w:w="3147"/>
        <w:gridCol w:w="1294"/>
      </w:tblGrid>
      <w:tr w:rsidR="002258B0" w:rsidRPr="00EA175D" w14:paraId="7F3AEF26" w14:textId="77777777" w:rsidTr="00B00E7A">
        <w:trPr>
          <w:trHeight w:val="540"/>
        </w:trPr>
        <w:tc>
          <w:tcPr>
            <w:tcW w:w="8647" w:type="dxa"/>
            <w:gridSpan w:val="3"/>
            <w:tcBorders>
              <w:top w:val="nil"/>
              <w:left w:val="nil"/>
              <w:bottom w:val="single" w:sz="8" w:space="0" w:color="auto"/>
              <w:right w:val="nil"/>
            </w:tcBorders>
            <w:shd w:val="clear" w:color="auto" w:fill="auto"/>
            <w:noWrap/>
            <w:vAlign w:val="bottom"/>
            <w:hideMark/>
          </w:tcPr>
          <w:p w14:paraId="5A97739B"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Мнение относно ВОМР (от 1 до 5)</w:t>
            </w:r>
          </w:p>
        </w:tc>
      </w:tr>
      <w:tr w:rsidR="002258B0" w:rsidRPr="00EA175D" w14:paraId="0D548C23" w14:textId="77777777" w:rsidTr="00B00E7A">
        <w:trPr>
          <w:trHeight w:val="540"/>
        </w:trPr>
        <w:tc>
          <w:tcPr>
            <w:tcW w:w="4206" w:type="dxa"/>
            <w:tcBorders>
              <w:top w:val="nil"/>
              <w:left w:val="single" w:sz="8" w:space="0" w:color="auto"/>
              <w:bottom w:val="single" w:sz="4" w:space="0" w:color="auto"/>
              <w:right w:val="single" w:sz="4" w:space="0" w:color="auto"/>
            </w:tcBorders>
            <w:shd w:val="clear" w:color="auto" w:fill="auto"/>
            <w:noWrap/>
            <w:vAlign w:val="bottom"/>
            <w:hideMark/>
          </w:tcPr>
          <w:p w14:paraId="12F58FF3"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Възраст на анкетираните</w:t>
            </w:r>
          </w:p>
        </w:tc>
        <w:tc>
          <w:tcPr>
            <w:tcW w:w="3147" w:type="dxa"/>
            <w:tcBorders>
              <w:top w:val="nil"/>
              <w:left w:val="nil"/>
              <w:bottom w:val="single" w:sz="4" w:space="0" w:color="auto"/>
              <w:right w:val="single" w:sz="4" w:space="0" w:color="auto"/>
            </w:tcBorders>
            <w:shd w:val="clear" w:color="auto" w:fill="auto"/>
            <w:noWrap/>
            <w:vAlign w:val="bottom"/>
            <w:hideMark/>
          </w:tcPr>
          <w:p w14:paraId="71A01C97"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Брой анкетирани</w:t>
            </w:r>
          </w:p>
        </w:tc>
        <w:tc>
          <w:tcPr>
            <w:tcW w:w="1294" w:type="dxa"/>
            <w:tcBorders>
              <w:top w:val="nil"/>
              <w:left w:val="nil"/>
              <w:bottom w:val="single" w:sz="4" w:space="0" w:color="auto"/>
              <w:right w:val="single" w:sz="8" w:space="0" w:color="auto"/>
            </w:tcBorders>
            <w:shd w:val="clear" w:color="auto" w:fill="auto"/>
            <w:noWrap/>
            <w:vAlign w:val="bottom"/>
            <w:hideMark/>
          </w:tcPr>
          <w:p w14:paraId="2675B95B"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w:t>
            </w:r>
          </w:p>
        </w:tc>
      </w:tr>
      <w:tr w:rsidR="002258B0" w:rsidRPr="00EA175D" w14:paraId="4927F371" w14:textId="77777777" w:rsidTr="00B00E7A">
        <w:trPr>
          <w:trHeight w:val="540"/>
        </w:trPr>
        <w:tc>
          <w:tcPr>
            <w:tcW w:w="4206" w:type="dxa"/>
            <w:tcBorders>
              <w:top w:val="nil"/>
              <w:left w:val="single" w:sz="8" w:space="0" w:color="auto"/>
              <w:bottom w:val="single" w:sz="4" w:space="0" w:color="auto"/>
              <w:right w:val="single" w:sz="4" w:space="0" w:color="auto"/>
            </w:tcBorders>
            <w:shd w:val="clear" w:color="auto" w:fill="auto"/>
            <w:noWrap/>
            <w:vAlign w:val="bottom"/>
            <w:hideMark/>
          </w:tcPr>
          <w:p w14:paraId="7F90D767"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Оценка "5"</w:t>
            </w:r>
          </w:p>
        </w:tc>
        <w:tc>
          <w:tcPr>
            <w:tcW w:w="3147" w:type="dxa"/>
            <w:tcBorders>
              <w:top w:val="nil"/>
              <w:left w:val="nil"/>
              <w:bottom w:val="single" w:sz="4" w:space="0" w:color="auto"/>
              <w:right w:val="single" w:sz="4" w:space="0" w:color="auto"/>
            </w:tcBorders>
            <w:shd w:val="clear" w:color="auto" w:fill="auto"/>
            <w:noWrap/>
            <w:vAlign w:val="bottom"/>
            <w:hideMark/>
          </w:tcPr>
          <w:p w14:paraId="72A48F90"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467</w:t>
            </w:r>
          </w:p>
        </w:tc>
        <w:tc>
          <w:tcPr>
            <w:tcW w:w="1294" w:type="dxa"/>
            <w:tcBorders>
              <w:top w:val="nil"/>
              <w:left w:val="nil"/>
              <w:bottom w:val="single" w:sz="4" w:space="0" w:color="auto"/>
              <w:right w:val="single" w:sz="8" w:space="0" w:color="auto"/>
            </w:tcBorders>
            <w:shd w:val="clear" w:color="auto" w:fill="auto"/>
            <w:noWrap/>
            <w:vAlign w:val="bottom"/>
            <w:hideMark/>
          </w:tcPr>
          <w:p w14:paraId="2E247EF9"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73%</w:t>
            </w:r>
          </w:p>
        </w:tc>
      </w:tr>
      <w:tr w:rsidR="002258B0" w:rsidRPr="00EA175D" w14:paraId="5181663E" w14:textId="77777777" w:rsidTr="00B00E7A">
        <w:trPr>
          <w:trHeight w:val="540"/>
        </w:trPr>
        <w:tc>
          <w:tcPr>
            <w:tcW w:w="4206" w:type="dxa"/>
            <w:tcBorders>
              <w:top w:val="nil"/>
              <w:left w:val="single" w:sz="8" w:space="0" w:color="auto"/>
              <w:bottom w:val="single" w:sz="4" w:space="0" w:color="auto"/>
              <w:right w:val="single" w:sz="4" w:space="0" w:color="auto"/>
            </w:tcBorders>
            <w:shd w:val="clear" w:color="auto" w:fill="auto"/>
            <w:noWrap/>
            <w:vAlign w:val="bottom"/>
            <w:hideMark/>
          </w:tcPr>
          <w:p w14:paraId="1CB31FDA"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Оценка "4"</w:t>
            </w:r>
          </w:p>
        </w:tc>
        <w:tc>
          <w:tcPr>
            <w:tcW w:w="3147" w:type="dxa"/>
            <w:tcBorders>
              <w:top w:val="nil"/>
              <w:left w:val="nil"/>
              <w:bottom w:val="single" w:sz="4" w:space="0" w:color="auto"/>
              <w:right w:val="single" w:sz="4" w:space="0" w:color="auto"/>
            </w:tcBorders>
            <w:shd w:val="clear" w:color="auto" w:fill="auto"/>
            <w:noWrap/>
            <w:vAlign w:val="bottom"/>
            <w:hideMark/>
          </w:tcPr>
          <w:p w14:paraId="1ED9B3F5"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77</w:t>
            </w:r>
          </w:p>
        </w:tc>
        <w:tc>
          <w:tcPr>
            <w:tcW w:w="1294" w:type="dxa"/>
            <w:tcBorders>
              <w:top w:val="nil"/>
              <w:left w:val="nil"/>
              <w:bottom w:val="single" w:sz="4" w:space="0" w:color="auto"/>
              <w:right w:val="single" w:sz="8" w:space="0" w:color="auto"/>
            </w:tcBorders>
            <w:shd w:val="clear" w:color="auto" w:fill="auto"/>
            <w:noWrap/>
            <w:vAlign w:val="bottom"/>
            <w:hideMark/>
          </w:tcPr>
          <w:p w14:paraId="20D9759A"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12%</w:t>
            </w:r>
          </w:p>
        </w:tc>
      </w:tr>
      <w:tr w:rsidR="002258B0" w:rsidRPr="00EA175D" w14:paraId="60959799" w14:textId="77777777" w:rsidTr="00B00E7A">
        <w:trPr>
          <w:trHeight w:val="540"/>
        </w:trPr>
        <w:tc>
          <w:tcPr>
            <w:tcW w:w="4206" w:type="dxa"/>
            <w:tcBorders>
              <w:top w:val="nil"/>
              <w:left w:val="single" w:sz="8" w:space="0" w:color="auto"/>
              <w:bottom w:val="single" w:sz="4" w:space="0" w:color="auto"/>
              <w:right w:val="single" w:sz="4" w:space="0" w:color="auto"/>
            </w:tcBorders>
            <w:shd w:val="clear" w:color="auto" w:fill="auto"/>
            <w:noWrap/>
            <w:vAlign w:val="bottom"/>
            <w:hideMark/>
          </w:tcPr>
          <w:p w14:paraId="6C3C356F"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Оценка "3"</w:t>
            </w:r>
          </w:p>
        </w:tc>
        <w:tc>
          <w:tcPr>
            <w:tcW w:w="3147" w:type="dxa"/>
            <w:tcBorders>
              <w:top w:val="nil"/>
              <w:left w:val="nil"/>
              <w:bottom w:val="single" w:sz="4" w:space="0" w:color="auto"/>
              <w:right w:val="single" w:sz="4" w:space="0" w:color="auto"/>
            </w:tcBorders>
            <w:shd w:val="clear" w:color="auto" w:fill="auto"/>
            <w:noWrap/>
            <w:vAlign w:val="bottom"/>
            <w:hideMark/>
          </w:tcPr>
          <w:p w14:paraId="5CDAC627"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45</w:t>
            </w:r>
          </w:p>
        </w:tc>
        <w:tc>
          <w:tcPr>
            <w:tcW w:w="1294" w:type="dxa"/>
            <w:tcBorders>
              <w:top w:val="nil"/>
              <w:left w:val="nil"/>
              <w:bottom w:val="single" w:sz="4" w:space="0" w:color="auto"/>
              <w:right w:val="single" w:sz="8" w:space="0" w:color="auto"/>
            </w:tcBorders>
            <w:shd w:val="clear" w:color="auto" w:fill="auto"/>
            <w:noWrap/>
            <w:vAlign w:val="bottom"/>
            <w:hideMark/>
          </w:tcPr>
          <w:p w14:paraId="4FF0B67C"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7%</w:t>
            </w:r>
          </w:p>
        </w:tc>
      </w:tr>
      <w:tr w:rsidR="002258B0" w:rsidRPr="00EA175D" w14:paraId="2FD3F6CA" w14:textId="77777777" w:rsidTr="00B00E7A">
        <w:trPr>
          <w:trHeight w:val="540"/>
        </w:trPr>
        <w:tc>
          <w:tcPr>
            <w:tcW w:w="4206" w:type="dxa"/>
            <w:tcBorders>
              <w:top w:val="nil"/>
              <w:left w:val="single" w:sz="8" w:space="0" w:color="auto"/>
              <w:bottom w:val="single" w:sz="4" w:space="0" w:color="auto"/>
              <w:right w:val="single" w:sz="4" w:space="0" w:color="auto"/>
            </w:tcBorders>
            <w:shd w:val="clear" w:color="auto" w:fill="auto"/>
            <w:noWrap/>
            <w:vAlign w:val="bottom"/>
            <w:hideMark/>
          </w:tcPr>
          <w:p w14:paraId="65E5BFA4"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Оценка "2"</w:t>
            </w:r>
          </w:p>
        </w:tc>
        <w:tc>
          <w:tcPr>
            <w:tcW w:w="3147" w:type="dxa"/>
            <w:tcBorders>
              <w:top w:val="nil"/>
              <w:left w:val="nil"/>
              <w:bottom w:val="single" w:sz="4" w:space="0" w:color="auto"/>
              <w:right w:val="single" w:sz="4" w:space="0" w:color="auto"/>
            </w:tcBorders>
            <w:shd w:val="clear" w:color="auto" w:fill="auto"/>
            <w:noWrap/>
            <w:vAlign w:val="bottom"/>
            <w:hideMark/>
          </w:tcPr>
          <w:p w14:paraId="39F5E878"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38</w:t>
            </w:r>
          </w:p>
        </w:tc>
        <w:tc>
          <w:tcPr>
            <w:tcW w:w="1294" w:type="dxa"/>
            <w:tcBorders>
              <w:top w:val="nil"/>
              <w:left w:val="nil"/>
              <w:bottom w:val="single" w:sz="4" w:space="0" w:color="auto"/>
              <w:right w:val="single" w:sz="8" w:space="0" w:color="auto"/>
            </w:tcBorders>
            <w:shd w:val="clear" w:color="auto" w:fill="auto"/>
            <w:noWrap/>
            <w:vAlign w:val="bottom"/>
            <w:hideMark/>
          </w:tcPr>
          <w:p w14:paraId="29E42108"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6%</w:t>
            </w:r>
          </w:p>
        </w:tc>
      </w:tr>
      <w:tr w:rsidR="002258B0" w:rsidRPr="00EA175D" w14:paraId="6EC74459" w14:textId="77777777" w:rsidTr="00B00E7A">
        <w:trPr>
          <w:trHeight w:val="540"/>
        </w:trPr>
        <w:tc>
          <w:tcPr>
            <w:tcW w:w="4206" w:type="dxa"/>
            <w:tcBorders>
              <w:top w:val="nil"/>
              <w:left w:val="single" w:sz="8" w:space="0" w:color="auto"/>
              <w:bottom w:val="single" w:sz="4" w:space="0" w:color="auto"/>
              <w:right w:val="single" w:sz="4" w:space="0" w:color="auto"/>
            </w:tcBorders>
            <w:shd w:val="clear" w:color="auto" w:fill="auto"/>
            <w:noWrap/>
            <w:vAlign w:val="bottom"/>
            <w:hideMark/>
          </w:tcPr>
          <w:p w14:paraId="71AF76C6"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Оценка "1"</w:t>
            </w:r>
          </w:p>
        </w:tc>
        <w:tc>
          <w:tcPr>
            <w:tcW w:w="3147" w:type="dxa"/>
            <w:tcBorders>
              <w:top w:val="nil"/>
              <w:left w:val="nil"/>
              <w:bottom w:val="single" w:sz="8" w:space="0" w:color="auto"/>
              <w:right w:val="single" w:sz="4" w:space="0" w:color="auto"/>
            </w:tcBorders>
            <w:shd w:val="clear" w:color="auto" w:fill="auto"/>
            <w:noWrap/>
            <w:vAlign w:val="bottom"/>
            <w:hideMark/>
          </w:tcPr>
          <w:p w14:paraId="736C9080"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13</w:t>
            </w:r>
          </w:p>
        </w:tc>
        <w:tc>
          <w:tcPr>
            <w:tcW w:w="1294" w:type="dxa"/>
            <w:tcBorders>
              <w:top w:val="nil"/>
              <w:left w:val="nil"/>
              <w:bottom w:val="single" w:sz="8" w:space="0" w:color="auto"/>
              <w:right w:val="single" w:sz="8" w:space="0" w:color="auto"/>
            </w:tcBorders>
            <w:shd w:val="clear" w:color="auto" w:fill="auto"/>
            <w:noWrap/>
            <w:vAlign w:val="bottom"/>
            <w:hideMark/>
          </w:tcPr>
          <w:p w14:paraId="26F06108" w14:textId="77777777" w:rsidR="002258B0" w:rsidRPr="00EA175D" w:rsidRDefault="002258B0" w:rsidP="00EA175D">
            <w:pPr>
              <w:spacing w:line="360" w:lineRule="auto"/>
              <w:jc w:val="both"/>
              <w:rPr>
                <w:rFonts w:eastAsia="Times New Roman"/>
                <w:color w:val="000000"/>
              </w:rPr>
            </w:pPr>
            <w:r w:rsidRPr="00EA175D">
              <w:rPr>
                <w:rFonts w:eastAsia="Times New Roman"/>
                <w:color w:val="000000"/>
              </w:rPr>
              <w:t>2%</w:t>
            </w:r>
          </w:p>
        </w:tc>
      </w:tr>
    </w:tbl>
    <w:p w14:paraId="6D95FF5E" w14:textId="77777777" w:rsidR="002258B0" w:rsidRPr="00EA175D" w:rsidRDefault="002258B0" w:rsidP="00EA175D">
      <w:pPr>
        <w:spacing w:line="360" w:lineRule="auto"/>
        <w:jc w:val="both"/>
        <w:rPr>
          <w:rFonts w:eastAsiaTheme="minorEastAsia"/>
          <w:color w:val="FF0000"/>
        </w:rPr>
      </w:pPr>
    </w:p>
    <w:p w14:paraId="2E72AEDD" w14:textId="77777777" w:rsidR="002258B0" w:rsidRPr="00EA175D" w:rsidRDefault="002258B0" w:rsidP="00EA175D">
      <w:pPr>
        <w:spacing w:line="360" w:lineRule="auto"/>
        <w:jc w:val="both"/>
        <w:rPr>
          <w:rFonts w:eastAsiaTheme="minorEastAsia"/>
          <w:color w:val="FF0000"/>
        </w:rPr>
      </w:pPr>
    </w:p>
    <w:p w14:paraId="00AB158D" w14:textId="77777777" w:rsidR="002258B0" w:rsidRPr="00EA175D" w:rsidRDefault="002258B0" w:rsidP="00EA175D">
      <w:pPr>
        <w:spacing w:line="360" w:lineRule="auto"/>
        <w:jc w:val="both"/>
        <w:rPr>
          <w:rFonts w:eastAsiaTheme="minorEastAsia"/>
        </w:rPr>
      </w:pPr>
      <w:r w:rsidRPr="00EA175D">
        <w:rPr>
          <w:rFonts w:eastAsiaTheme="minorEastAsia"/>
        </w:rPr>
        <w:t xml:space="preserve">Въпроси 2,3 и 4 от анкетата са насочени към оценка на стратегиите от гледна точка на възможностите за подпомагане развитието на съответните територии. Отговорът на въпрос №2 „..в каква степен стратегията на ВОМР може да подпомогне развитието на територията“, разпределението на отговорите е както следва: 28% считат, че стратегията  може да съдейства в максимална степен за развитието на територията и поставят оценка </w:t>
      </w:r>
      <w:r w:rsidRPr="00EA175D">
        <w:rPr>
          <w:rFonts w:eastAsiaTheme="minorEastAsia"/>
        </w:rPr>
        <w:lastRenderedPageBreak/>
        <w:t>„5“; 31% - оценка „4“; 41% - оценка „3“. В същата посока е и отговорът на следният въпрос №3, които се интересува от оценката доколко прилаганата стратегия отразява спецификата на територията с нейните силни и слаби страни. По-голяма част от анкетираните – 54% поставят оценка „3“, което може да се приеме като показател за негативно отношение към възможностите за развитие на съответните територии. Преобладаваща част от анкетираните – 62% поставят оценка „4“ за качеството на разработената стратегия. С оценка „5“ отговарят 22% от запитаните. Отговорите на този въпрос се различават спрямо предходните два, които анализирахме, но качеството на стратегията в случая се свързва с мерките за които може да се кандидатства, а не конкретно с нуждите на територията.</w:t>
      </w:r>
    </w:p>
    <w:p w14:paraId="3E667DB7" w14:textId="201B09D9" w:rsidR="002258B0" w:rsidRPr="00EA175D" w:rsidRDefault="002258B0" w:rsidP="00EA175D">
      <w:pPr>
        <w:spacing w:line="360" w:lineRule="auto"/>
        <w:jc w:val="both"/>
        <w:rPr>
          <w:rFonts w:eastAsiaTheme="minorEastAsia"/>
        </w:rPr>
      </w:pPr>
      <w:r w:rsidRPr="00EA175D">
        <w:rPr>
          <w:rFonts w:eastAsiaTheme="minorEastAsia"/>
        </w:rPr>
        <w:t>Отговорите на Въпрос</w:t>
      </w:r>
      <w:r w:rsidR="00DD1FD0" w:rsidRPr="00F77584">
        <w:rPr>
          <w:rFonts w:eastAsiaTheme="minorEastAsia"/>
          <w:lang w:val="ru-RU"/>
        </w:rPr>
        <w:t xml:space="preserve"> </w:t>
      </w:r>
      <w:r w:rsidRPr="00EA175D">
        <w:rPr>
          <w:rFonts w:eastAsiaTheme="minorEastAsia"/>
        </w:rPr>
        <w:t xml:space="preserve">№5 са отново свързани с оценка, което следва да измери интереса на местната общност към стратегиите за ВОМР, 83% от анкетираните отговорят положително ( с оценка „5“) и считат, че е резонно да търсят информация и да проявят интерес към насоките на дейност. При 17 на сто отговорът е оценен с „4“. </w:t>
      </w:r>
    </w:p>
    <w:p w14:paraId="7CF1B7DC" w14:textId="1A277478" w:rsidR="002258B0" w:rsidRPr="00EA175D" w:rsidRDefault="002258B0" w:rsidP="00EA175D">
      <w:pPr>
        <w:spacing w:line="360" w:lineRule="auto"/>
        <w:jc w:val="both"/>
        <w:rPr>
          <w:rFonts w:eastAsiaTheme="minorEastAsia"/>
        </w:rPr>
      </w:pPr>
      <w:r w:rsidRPr="00EA175D">
        <w:rPr>
          <w:rFonts w:eastAsiaTheme="minorEastAsia"/>
        </w:rPr>
        <w:t>Въпрос №6 определя личното участие на всеки едни от анкетираните чрез проекти в съответният МИГ. От анкетираните 64% (416 на брой) са кандидатствали за одобрение на проекти по стратегиите за ВОМР. От тях голяма част имат успешно реализирани проекти – 395 от анкетираните отговарят положително. Не са кандидатствали по проекти – 18% (117 на брой). Имат намерение да кандидатстват са 12 на сто (78 на брой). Съвсем малка част от анкетираните – 6% нямат намерение да кандидатстват с проекти към стратегията</w:t>
      </w:r>
      <w:r w:rsidR="001A47EA">
        <w:rPr>
          <w:rFonts w:eastAsiaTheme="minorEastAsia"/>
        </w:rPr>
        <w:t xml:space="preserve"> </w:t>
      </w:r>
      <w:r w:rsidRPr="00EA175D">
        <w:rPr>
          <w:rFonts w:eastAsiaTheme="minorEastAsia"/>
        </w:rPr>
        <w:t>за ВОМР.</w:t>
      </w:r>
    </w:p>
    <w:p w14:paraId="60276B2E" w14:textId="77777777" w:rsidR="002258B0" w:rsidRPr="00EA175D" w:rsidRDefault="002258B0" w:rsidP="00EA175D">
      <w:pPr>
        <w:spacing w:line="360" w:lineRule="auto"/>
        <w:jc w:val="both"/>
        <w:rPr>
          <w:rFonts w:eastAsiaTheme="minorEastAsia"/>
        </w:rPr>
      </w:pPr>
      <w:r w:rsidRPr="00EA175D">
        <w:rPr>
          <w:rFonts w:eastAsiaTheme="minorEastAsia"/>
          <w:b/>
        </w:rPr>
        <w:t>Четвъртата група въпроси</w:t>
      </w:r>
      <w:r w:rsidRPr="00EA175D">
        <w:rPr>
          <w:rFonts w:eastAsiaTheme="minorEastAsia"/>
        </w:rPr>
        <w:t xml:space="preserve"> са насочени към търсене на информация относно това каква оценка дават анкетираните на подхода ВОМР.</w:t>
      </w:r>
    </w:p>
    <w:p w14:paraId="6347B214" w14:textId="76ABD730" w:rsidR="002258B0" w:rsidRPr="00EA175D" w:rsidRDefault="002258B0" w:rsidP="00EA175D">
      <w:pPr>
        <w:spacing w:line="360" w:lineRule="auto"/>
        <w:jc w:val="both"/>
        <w:rPr>
          <w:rFonts w:eastAsiaTheme="minorEastAsia"/>
        </w:rPr>
      </w:pPr>
      <w:r w:rsidRPr="00EA175D">
        <w:rPr>
          <w:rFonts w:eastAsiaTheme="minorEastAsia"/>
        </w:rPr>
        <w:t>Изпълняваните Стратегии на Водени от общностите местно развитие (ВОМР) на местните инициативни групи МИГ са предпоставка за постигане на целите на всяка една общност. По-голяма част от анкетираните – 84 на сто  са запознати с подхода ВОМР. На тази база тяхната оценка е „5“. Тези, които считат, че нямат достатъчно информация за подхода ВОМР представляват 11 на сто от анкетираните и те поставят оценка „4“.</w:t>
      </w:r>
    </w:p>
    <w:p w14:paraId="50879875" w14:textId="77777777" w:rsidR="002258B0" w:rsidRPr="00EA175D" w:rsidRDefault="002258B0" w:rsidP="00B00E7A">
      <w:pPr>
        <w:spacing w:line="360" w:lineRule="auto"/>
        <w:ind w:left="284"/>
        <w:jc w:val="both"/>
        <w:rPr>
          <w:rFonts w:eastAsiaTheme="minorEastAsia"/>
        </w:rPr>
      </w:pPr>
      <w:r w:rsidRPr="00EA175D">
        <w:rPr>
          <w:rFonts w:eastAsiaTheme="minorEastAsia"/>
        </w:rPr>
        <w:lastRenderedPageBreak/>
        <w:t>Следващата група въпроси са насочени към оценка на конкретните направления на подхода ВОМР. Отговорът на въпросите са както следва:</w:t>
      </w:r>
    </w:p>
    <w:p w14:paraId="7CF0AF9F" w14:textId="77777777" w:rsidR="002258B0" w:rsidRPr="00EA175D" w:rsidRDefault="002258B0" w:rsidP="00B00E7A">
      <w:pPr>
        <w:pStyle w:val="ab"/>
        <w:numPr>
          <w:ilvl w:val="0"/>
          <w:numId w:val="16"/>
        </w:numPr>
        <w:spacing w:after="200" w:line="360" w:lineRule="auto"/>
        <w:ind w:left="284" w:firstLine="0"/>
        <w:jc w:val="both"/>
      </w:pPr>
      <w:r w:rsidRPr="00EA175D">
        <w:t>Оценка на подхода ВОМР за формиране на местната идентичност: 54% (351 на брой) поставят оценка „5“; 39% (318 на брой) поставят оценка „4“; 7% (</w:t>
      </w:r>
      <w:r w:rsidRPr="00F77584">
        <w:rPr>
          <w:lang w:val="ru-RU"/>
        </w:rPr>
        <w:t xml:space="preserve">43 </w:t>
      </w:r>
      <w:r w:rsidRPr="00EA175D">
        <w:t>на брой) поставят оценка „3“;</w:t>
      </w:r>
    </w:p>
    <w:p w14:paraId="388E4EEA" w14:textId="77777777" w:rsidR="002258B0" w:rsidRPr="00EA175D" w:rsidRDefault="002258B0" w:rsidP="00B00E7A">
      <w:pPr>
        <w:pStyle w:val="ab"/>
        <w:numPr>
          <w:ilvl w:val="0"/>
          <w:numId w:val="16"/>
        </w:numPr>
        <w:spacing w:after="200" w:line="360" w:lineRule="auto"/>
        <w:ind w:left="284" w:firstLine="0"/>
        <w:jc w:val="both"/>
      </w:pPr>
      <w:r w:rsidRPr="00EA175D">
        <w:t xml:space="preserve">По- добри показатели са отчетени при отговора на въпроса за това как подхода ВОМР допринася за формиране на добавена стойност на съответната територия. Отговорилите с оценка „5“ са 488 (75%) , а тези с оценка „4“ – </w:t>
      </w:r>
      <w:r w:rsidRPr="00EA175D">
        <w:rPr>
          <w:lang w:val="en-US"/>
        </w:rPr>
        <w:t xml:space="preserve">150 </w:t>
      </w:r>
      <w:r w:rsidRPr="00EA175D">
        <w:t>(23%);</w:t>
      </w:r>
    </w:p>
    <w:p w14:paraId="46762D11" w14:textId="77777777" w:rsidR="002258B0" w:rsidRPr="00EA175D" w:rsidRDefault="002258B0" w:rsidP="00B00E7A">
      <w:pPr>
        <w:pStyle w:val="ab"/>
        <w:numPr>
          <w:ilvl w:val="0"/>
          <w:numId w:val="16"/>
        </w:numPr>
        <w:spacing w:after="200" w:line="360" w:lineRule="auto"/>
        <w:ind w:left="284" w:firstLine="0"/>
        <w:jc w:val="both"/>
      </w:pPr>
      <w:r w:rsidRPr="00EA175D">
        <w:t>Отговорите на въпрос № 4 – доколко подхода ВОМР овластява местната общност и стимулира местното самоуправление, преобладаваща част от анкетираните считат, че няма голямо значение конкретната дейност. Данните от анкетата сочат, че оценка „5“ дават едва 18 на сто от анкетираните, а оценка „4“ – 55 на сто. Не е малка групата, която счита, че подхода ВОМР не стимулира местното самоуправление – 27%;</w:t>
      </w:r>
    </w:p>
    <w:p w14:paraId="3EABB8A5" w14:textId="77777777" w:rsidR="002258B0" w:rsidRPr="00EA175D" w:rsidRDefault="002258B0" w:rsidP="00B00E7A">
      <w:pPr>
        <w:pStyle w:val="ab"/>
        <w:numPr>
          <w:ilvl w:val="0"/>
          <w:numId w:val="16"/>
        </w:numPr>
        <w:spacing w:after="200" w:line="360" w:lineRule="auto"/>
        <w:ind w:left="284" w:firstLine="0"/>
        <w:jc w:val="both"/>
      </w:pPr>
      <w:r w:rsidRPr="00EA175D">
        <w:t>Голяма част от анкетираните, особено тези които са кандидатствали по проекти чрез МИГ, подкрепят подхода ВОМР в частта която се отнася за местното развитие за кандидатстване по проекти от ЕС. Преобладаваща част – 507 от анкетираните  (78%)  поставят оценка „5“ на отговора на този въпрос. Достъпа да европейски фондове е значително облекчен, според тях, при условията на кандидатстване по проекти чрез МИГ;</w:t>
      </w:r>
    </w:p>
    <w:p w14:paraId="5CD7791E" w14:textId="77777777" w:rsidR="002258B0" w:rsidRPr="00EA175D" w:rsidRDefault="002258B0" w:rsidP="00B00E7A">
      <w:pPr>
        <w:pStyle w:val="ab"/>
        <w:numPr>
          <w:ilvl w:val="0"/>
          <w:numId w:val="16"/>
        </w:numPr>
        <w:spacing w:after="200" w:line="360" w:lineRule="auto"/>
        <w:ind w:left="284" w:firstLine="0"/>
        <w:jc w:val="both"/>
      </w:pPr>
      <w:r w:rsidRPr="00EA175D">
        <w:t>Въпреки общата положителна оценка за ролята на подхода ВОМР, по-голяма част от анкетираните не считат, че прилагането на подхода води до повишаване на уменията на населението и потенциала за развитие на съответната територия. Отговорилите на този въпрос – 490 от анкетираните (79%) поставят оценка „4“, като максимална, а останалите оценяват тази възможност на ниво от „3“;</w:t>
      </w:r>
    </w:p>
    <w:p w14:paraId="514E524F" w14:textId="77777777" w:rsidR="002258B0" w:rsidRPr="00EA175D" w:rsidRDefault="002258B0" w:rsidP="00B00E7A">
      <w:pPr>
        <w:pStyle w:val="ab"/>
        <w:numPr>
          <w:ilvl w:val="0"/>
          <w:numId w:val="16"/>
        </w:numPr>
        <w:spacing w:after="200" w:line="360" w:lineRule="auto"/>
        <w:ind w:left="0" w:firstLine="0"/>
        <w:jc w:val="both"/>
      </w:pPr>
      <w:r w:rsidRPr="00EA175D">
        <w:t xml:space="preserve">Отговорите на въпрос №7 касае оценката на това доколко подхода ВОМР допринася за минимизиране или преустановяване на процеса на обезлюдяване на съответната територия. Голям е делът на отговорилите с оценка „3“ – 590 анкетирани (91%). На практика проблемът с обезлюдяването в селските територии изисква </w:t>
      </w:r>
      <w:r w:rsidRPr="00EA175D">
        <w:lastRenderedPageBreak/>
        <w:t>комплексен подход и не е възможно единствено прилагането на подхода ВОМР да реши дълго трупани проблеми.</w:t>
      </w:r>
    </w:p>
    <w:p w14:paraId="44B87571" w14:textId="77777777" w:rsidR="002258B0" w:rsidRPr="00EA175D" w:rsidRDefault="002258B0" w:rsidP="00B00E7A">
      <w:pPr>
        <w:spacing w:line="360" w:lineRule="auto"/>
        <w:jc w:val="both"/>
      </w:pPr>
      <w:r w:rsidRPr="00EA175D">
        <w:t>Последната група въпрос от анкетата са отворени и изискват от анкетираните препоръки за бъдещето развитие на подхода ВОМР.</w:t>
      </w:r>
    </w:p>
    <w:p w14:paraId="737E5A99" w14:textId="77777777" w:rsidR="002258B0" w:rsidRPr="00EA175D" w:rsidRDefault="002258B0" w:rsidP="00B00E7A">
      <w:pPr>
        <w:spacing w:line="360" w:lineRule="auto"/>
        <w:jc w:val="both"/>
      </w:pPr>
      <w:r w:rsidRPr="00EA175D">
        <w:t>По отношение на отговора на въпроса относно бъдещото развитие на подхода ВОМР становищата са разнообразни и даже с различен знак. При отговора на този въпрос, 124 от анкетираните (19%) не са дали отговор, като това не означава, че нямат мнение, а по-скоро, че нямат конкретни препоръки.</w:t>
      </w:r>
    </w:p>
    <w:p w14:paraId="516684A9" w14:textId="77777777" w:rsidR="002258B0" w:rsidRPr="00EA175D" w:rsidRDefault="002258B0" w:rsidP="00B00E7A">
      <w:pPr>
        <w:spacing w:line="360" w:lineRule="auto"/>
        <w:jc w:val="both"/>
      </w:pPr>
      <w:r w:rsidRPr="00EA175D">
        <w:t xml:space="preserve">Анализът на предложенията сочи следните препоръки, които са важни и има значителна повторяемост при тяхното предлагана. </w:t>
      </w:r>
    </w:p>
    <w:p w14:paraId="64FC2295" w14:textId="77777777" w:rsidR="002258B0" w:rsidRPr="00EA175D" w:rsidRDefault="002258B0" w:rsidP="00B00E7A">
      <w:pPr>
        <w:spacing w:line="360" w:lineRule="auto"/>
        <w:jc w:val="both"/>
      </w:pPr>
      <w:r w:rsidRPr="00EA175D">
        <w:t xml:space="preserve">Те могат да се обособят в следните групи: работата в бъдеще следва да е насочена към проекти, които да създават трайна и устойчива заетост; да се разширят дейностите, като се включи и здравеопазване, читалищна дейност, спорт, култура; увеличаване на финансовите средства за прилагане на подхода; фокусиране върху иновациите и въвеждането им в практиката. </w:t>
      </w:r>
    </w:p>
    <w:p w14:paraId="37C78A24" w14:textId="15337E2B" w:rsidR="002258B0" w:rsidRPr="00EA175D" w:rsidRDefault="002258B0" w:rsidP="00B00E7A">
      <w:pPr>
        <w:spacing w:line="360" w:lineRule="auto"/>
        <w:jc w:val="both"/>
      </w:pPr>
      <w:r w:rsidRPr="00EA175D">
        <w:t>Като цяло отговорилите считат подхода ВОМР</w:t>
      </w:r>
      <w:r w:rsidR="00DD1FD0" w:rsidRPr="00F77584">
        <w:rPr>
          <w:lang w:val="ru-RU"/>
        </w:rPr>
        <w:t xml:space="preserve">, </w:t>
      </w:r>
      <w:r w:rsidR="00DD1FD0">
        <w:t>че</w:t>
      </w:r>
      <w:r w:rsidRPr="00EA175D">
        <w:t xml:space="preserve"> е полезен за развитието на съответните територии и може да създаде предпоставки за развитие на бизнес. </w:t>
      </w:r>
    </w:p>
    <w:p w14:paraId="7D0B6303" w14:textId="77777777" w:rsidR="002258B0" w:rsidRPr="00EA175D" w:rsidRDefault="002258B0" w:rsidP="00B00E7A">
      <w:pPr>
        <w:spacing w:line="360" w:lineRule="auto"/>
        <w:jc w:val="both"/>
      </w:pPr>
      <w:r w:rsidRPr="00EA175D">
        <w:t>Въпроси № 2 и 3 акцентират върху нуждата от продължаване дейността на МИГ и мнението на анкетираните. Близо 81% от отговорилите считат, че следва да продължи работата на МИГ и в съответствие с това следва да се разработи стратегия за ВОМР за следващият програмен период.</w:t>
      </w:r>
    </w:p>
    <w:p w14:paraId="38E2656C" w14:textId="77777777" w:rsidR="002258B0" w:rsidRPr="00EA175D" w:rsidRDefault="002258B0" w:rsidP="00B00E7A">
      <w:pPr>
        <w:spacing w:line="360" w:lineRule="auto"/>
        <w:jc w:val="both"/>
      </w:pPr>
      <w:r w:rsidRPr="00EA175D">
        <w:t xml:space="preserve">Препоръките относно бъдещата дейност на МИГ са фокусирани върху мерките и срокът на тяхното изпълнение. По-голяма част от отговорилите считат, че при сключването на договори за изпълнение на проекти следва да са фиксирани срокове и те да се изпълняват. Сътрудничеството с ДФ „Земеделие“ е една най-често срещаните препоръки, като анкетираните считат, че е необходима добра комуникация и координация. За  Местните  инициативни групи, които са едно фондови, се счита, че трябва да разширят дейността си да се включат и други оперативни програми в подкрепа </w:t>
      </w:r>
      <w:r w:rsidRPr="00EA175D">
        <w:lastRenderedPageBreak/>
        <w:t>на селските райони. Препоръка към дейността на МИГ е разширяване на информационната дейност, като се счита, че тя е необходима и следва да се провежда периодично.</w:t>
      </w:r>
    </w:p>
    <w:p w14:paraId="6059B979" w14:textId="77777777" w:rsidR="002258B0" w:rsidRPr="00EA175D" w:rsidRDefault="002258B0" w:rsidP="00B00E7A">
      <w:pPr>
        <w:spacing w:line="360" w:lineRule="auto"/>
        <w:jc w:val="both"/>
      </w:pPr>
      <w:r w:rsidRPr="00EA175D">
        <w:t>Въпрос №5 изисква от анкетираните да дадат препоръки при разработваните на стратегията на ВОМР. Отговорите тук са насочени най-вече към разширяване на дейността на МИГ и по-този начин увеличение на финансовите средства за съответната територия. Препоръчва се включването на повече мерки, които да са в съответствие със спецификата на района.</w:t>
      </w:r>
    </w:p>
    <w:p w14:paraId="6D2D3D9B" w14:textId="77777777" w:rsidR="002258B0" w:rsidRPr="00EA175D" w:rsidRDefault="002258B0" w:rsidP="00B00E7A">
      <w:pPr>
        <w:spacing w:line="360" w:lineRule="auto"/>
        <w:jc w:val="both"/>
        <w:rPr>
          <w:b/>
        </w:rPr>
      </w:pPr>
      <w:r w:rsidRPr="00EA175D">
        <w:rPr>
          <w:b/>
        </w:rPr>
        <w:t>АНКЕТА ЗА МИГ</w:t>
      </w:r>
    </w:p>
    <w:p w14:paraId="7BA15DAA" w14:textId="676E1D07" w:rsidR="002258B0" w:rsidRPr="00EA175D" w:rsidRDefault="002258B0" w:rsidP="00EA175D">
      <w:pPr>
        <w:spacing w:line="360" w:lineRule="auto"/>
        <w:jc w:val="both"/>
        <w:rPr>
          <w:color w:val="FF0000"/>
        </w:rPr>
      </w:pPr>
      <w:r w:rsidRPr="00EA175D">
        <w:t xml:space="preserve">В периода 18.10-23.10. 2021 г. бе проведено второ анкетно проучване с представители на местните инициативни групи. Целта на проучването бе да се проучи мнението на представители на МИГ, изпълняващи стратегии за ВОМР, относно прилагането на подхода. Събраната информация е от 64 местни инициативни групи. Въпросите от анкетата изискват оценка в различни направления за дейността на МИГ, като скалата за оценяване е от 1 до 5. Анкетата е определена в четири основни направления. ( </w:t>
      </w:r>
      <w:r w:rsidRPr="00EA175D">
        <w:rPr>
          <w:b/>
          <w:bCs/>
        </w:rPr>
        <w:t>Приложение 13</w:t>
      </w:r>
      <w:r w:rsidR="00753B7F" w:rsidRPr="00EA175D">
        <w:rPr>
          <w:b/>
          <w:bCs/>
        </w:rPr>
        <w:t xml:space="preserve"> и Приложение 14</w:t>
      </w:r>
      <w:r w:rsidRPr="00EA175D">
        <w:t>)</w:t>
      </w:r>
    </w:p>
    <w:p w14:paraId="7893346C" w14:textId="11B073C6" w:rsidR="002258B0" w:rsidRPr="00EA175D" w:rsidRDefault="002258B0" w:rsidP="00EA175D">
      <w:pPr>
        <w:spacing w:line="360" w:lineRule="auto"/>
        <w:jc w:val="both"/>
      </w:pPr>
      <w:r w:rsidRPr="00EA175D">
        <w:rPr>
          <w:b/>
        </w:rPr>
        <w:t>Първата група въпроси</w:t>
      </w:r>
      <w:r w:rsidRPr="00EA175D">
        <w:t xml:space="preserve"> са свързани </w:t>
      </w:r>
      <w:r w:rsidR="00DD1FD0">
        <w:t xml:space="preserve">с </w:t>
      </w:r>
      <w:r w:rsidRPr="00EA175D">
        <w:t xml:space="preserve">оценка на работата на МИГ с местните общности. Данните от въпрос №1 оценява необходимостта от провеждането на различни видове събития. Близо 84 на сто от анкетираните поставят оценка „5“ за необходимост от консултации. За останалите събития относителният дял на анкетираните, които поставят оценка „5“ са: Информационни срещи и конференции – 59%; Обучения – 56%; Местни празници – 62%. Не са отговорили на въпроса 3% от анкетираните. </w:t>
      </w:r>
    </w:p>
    <w:p w14:paraId="424F0234" w14:textId="77777777" w:rsidR="002258B0" w:rsidRPr="00EA175D" w:rsidRDefault="002258B0" w:rsidP="00EA175D">
      <w:pPr>
        <w:spacing w:line="360" w:lineRule="auto"/>
        <w:jc w:val="both"/>
      </w:pPr>
      <w:r w:rsidRPr="00EA175D">
        <w:t>Въпрос №2 оценява интереса на местната общност към провеждането на различни видове събития. Голяма част от отговорилите считат, че е необходимо провеждането на различни видове събития, но оценката е разнопосочна. С оценка „5“ са отговорили като следва: консултации – 55%; информационни срещи и конференции – 28%; обучения– 26%; местни празници – 67%. Анализът на данните сочи, че интереса е най-голяма при провеждане на консултации – 55 (86%) следван от  местни празници – за 50 (78%), като отговорите обхващат оценки от 4 и 5.</w:t>
      </w:r>
    </w:p>
    <w:p w14:paraId="6C145F2D" w14:textId="77777777" w:rsidR="002258B0" w:rsidRPr="00EA175D" w:rsidRDefault="002258B0" w:rsidP="00EA175D">
      <w:pPr>
        <w:spacing w:line="360" w:lineRule="auto"/>
        <w:jc w:val="both"/>
      </w:pPr>
      <w:r w:rsidRPr="00EA175D">
        <w:lastRenderedPageBreak/>
        <w:t>Малко по-диференцирано е мнението за нуждата от информационни материали и публикации за повишаване ефективността от популяризирането на подхода ВОМР. Близо 60% от отговорилите поставят оценка „5“ за необходимостта от информационни материали. 31 на сто определят нуждата като не водеща и оценката  е „4“.</w:t>
      </w:r>
    </w:p>
    <w:p w14:paraId="64943CD4" w14:textId="77777777" w:rsidR="002258B0" w:rsidRPr="00EA175D" w:rsidRDefault="002258B0" w:rsidP="00EA175D">
      <w:pPr>
        <w:spacing w:line="360" w:lineRule="auto"/>
        <w:jc w:val="both"/>
      </w:pPr>
      <w:r w:rsidRPr="00EA175D">
        <w:t>На отвореният въпрос, които търси отговор на въпроса за повишаване ефективността на работата на МИГ, голяма част от анкетираните отговарят, че освен стандартните канали на комуникация следва да се провеждат работни срещи, да се осъществяват посещения на място. Акцентира се върху необходимостта от тематични дискусии и среща с представители на отделни браншове по места. Част от анкетираните отбелязват необходимостта от регулярни срещи с местната общност и администрацията. Считат, че добра форма на комуникация е регулярният обмен на добри практики.</w:t>
      </w:r>
    </w:p>
    <w:p w14:paraId="25EE780B" w14:textId="77777777" w:rsidR="002258B0" w:rsidRPr="00EA175D" w:rsidRDefault="002258B0" w:rsidP="00EA175D">
      <w:pPr>
        <w:spacing w:line="360" w:lineRule="auto"/>
        <w:jc w:val="both"/>
      </w:pPr>
      <w:r w:rsidRPr="00EA175D">
        <w:rPr>
          <w:b/>
        </w:rPr>
        <w:t>Втората група въпроси</w:t>
      </w:r>
      <w:r w:rsidRPr="00EA175D">
        <w:t xml:space="preserve"> се отнасят до оценка на социалното въздействие на подхода ВОМР на териториите на прилагане. </w:t>
      </w:r>
    </w:p>
    <w:p w14:paraId="48800E78" w14:textId="77777777" w:rsidR="002258B0" w:rsidRPr="00EA175D" w:rsidRDefault="002258B0" w:rsidP="00EA175D">
      <w:pPr>
        <w:spacing w:line="360" w:lineRule="auto"/>
        <w:jc w:val="both"/>
      </w:pPr>
      <w:r w:rsidRPr="00EA175D">
        <w:t>Близо 36% от анкетираните поставят оценка „5“ на отговора на въпроса за интереса на местната общност към стратегията на ВОМР.  По-голяма част от тях обаче считат (48%), че местната общност не проявява голям интерес към стратегията за ВОМР ( 48% - оценка 4 и 8% оценка 3). В тази връзка и при отговорите на въпрос №3, 32% поставят оценка „5“ при определяне на активността на местната общност при изпълнение на стратегията на ВОМР. Близо 61% от анкетираните поставят оценки 3 и 4, което води до извода, че не са направени достатъчни усилия за включването на местната общност при изпълнението на стратегията.</w:t>
      </w:r>
    </w:p>
    <w:p w14:paraId="73B7EE94" w14:textId="77777777" w:rsidR="002258B0" w:rsidRPr="00EA175D" w:rsidRDefault="002258B0" w:rsidP="00EA175D">
      <w:pPr>
        <w:spacing w:line="360" w:lineRule="auto"/>
        <w:jc w:val="both"/>
      </w:pPr>
      <w:r w:rsidRPr="00EA175D">
        <w:t xml:space="preserve">От изключителна важност за по-нататъшната работа на МИГ у оценката на стратегията на ВОМР от гледна точка потенциала за осъществяване на проекти на съответната територия. По-голяма част от анкетираните ( 46%) поставят оценка „4“. Отговорилите положително с оценка „5“ са 31%. </w:t>
      </w:r>
    </w:p>
    <w:p w14:paraId="72488D90" w14:textId="77777777" w:rsidR="002258B0" w:rsidRPr="00EA175D" w:rsidRDefault="002258B0" w:rsidP="00EA175D">
      <w:pPr>
        <w:spacing w:line="360" w:lineRule="auto"/>
        <w:jc w:val="both"/>
      </w:pPr>
      <w:r w:rsidRPr="00EA175D">
        <w:t xml:space="preserve">Представителите на МИГ определят стратегията за ВОМР като адекватна към конкретните условия на населеното място и в своята конкретика дава възможност за формиране на местната идентичност. 50% от анкетираните оценят стратегията на ВОМР </w:t>
      </w:r>
      <w:r w:rsidRPr="00EA175D">
        <w:lastRenderedPageBreak/>
        <w:t>като адекватна към местната идентичност на района. 39% счита, че е възможно тя да бъде подобрена в съответната насока.</w:t>
      </w:r>
    </w:p>
    <w:p w14:paraId="646BB96F" w14:textId="77777777" w:rsidR="002258B0" w:rsidRPr="00EA175D" w:rsidRDefault="002258B0" w:rsidP="00EA175D">
      <w:pPr>
        <w:spacing w:line="360" w:lineRule="auto"/>
        <w:jc w:val="both"/>
      </w:pPr>
      <w:r w:rsidRPr="00EA175D">
        <w:t>МИГ чрез подхода ВОМР създава предпоставки за разработване на проекти, които да подпомагат местното развитие и да създават условия за развитие на териториите, за запазване на работните места. Важна е оценката на МИГ относно стратегиите за ВОМР за увеличаване на потенциала за проекти на територията на МИГ. От анкетираните 67% поставят оценка „5“, а 23% - оценка „4“.</w:t>
      </w:r>
    </w:p>
    <w:p w14:paraId="13B5B55D" w14:textId="77777777" w:rsidR="002258B0" w:rsidRPr="00EA175D" w:rsidRDefault="002258B0" w:rsidP="00EA175D">
      <w:pPr>
        <w:spacing w:line="360" w:lineRule="auto"/>
        <w:jc w:val="both"/>
      </w:pPr>
      <w:r w:rsidRPr="00EA175D">
        <w:t>Според данните от анкетата на въпроса с оценката за приноса на подхода ВОМР за насърчаване на децентрализацията и местното самоуправление 42% от анкетираните поставят оценка „5“. Преобладаваща част от анкетираните считат, че подходът ВОМР не допринася съществено за този процес.</w:t>
      </w:r>
    </w:p>
    <w:p w14:paraId="3CFB62B0" w14:textId="77777777" w:rsidR="002258B0" w:rsidRPr="00EA175D" w:rsidRDefault="002258B0" w:rsidP="00B00E7A">
      <w:pPr>
        <w:spacing w:line="360" w:lineRule="auto"/>
        <w:jc w:val="both"/>
      </w:pPr>
      <w:r w:rsidRPr="00EA175D">
        <w:rPr>
          <w:b/>
        </w:rPr>
        <w:t>Третата група въпроси</w:t>
      </w:r>
      <w:r w:rsidRPr="00EA175D">
        <w:t xml:space="preserve"> се отнасят за оценка на ефективността на взаимодействието между заинтересованите страни при прилагането на подхода ВОМР. Отговорите от анкетата са както следва:</w:t>
      </w:r>
    </w:p>
    <w:p w14:paraId="1305D2BB" w14:textId="15FCF4CB" w:rsidR="002258B0" w:rsidRPr="00EA175D" w:rsidRDefault="002258B0" w:rsidP="00B00E7A">
      <w:pPr>
        <w:pStyle w:val="ab"/>
        <w:numPr>
          <w:ilvl w:val="0"/>
          <w:numId w:val="16"/>
        </w:numPr>
        <w:spacing w:after="200" w:line="360" w:lineRule="auto"/>
        <w:ind w:left="426"/>
        <w:jc w:val="both"/>
      </w:pPr>
      <w:r w:rsidRPr="00EA175D">
        <w:t>Ефективност от взаимодействие с УО на ПРСР- 72% (оценка 5); 17% (оценка 4);</w:t>
      </w:r>
    </w:p>
    <w:p w14:paraId="61720CC6" w14:textId="2447BE21" w:rsidR="002258B0" w:rsidRPr="00EA175D" w:rsidRDefault="002258B0" w:rsidP="00B00E7A">
      <w:pPr>
        <w:pStyle w:val="ab"/>
        <w:numPr>
          <w:ilvl w:val="0"/>
          <w:numId w:val="16"/>
        </w:numPr>
        <w:spacing w:after="200" w:line="360" w:lineRule="auto"/>
        <w:ind w:left="426"/>
        <w:jc w:val="both"/>
      </w:pPr>
      <w:r w:rsidRPr="00EA175D">
        <w:t>Ефективност от взаимодействие с УО на ОПРЧР- 39% (оценка 5); 16% (оценка 4); не отговорили– 42%;</w:t>
      </w:r>
    </w:p>
    <w:p w14:paraId="6F60F4A6" w14:textId="6F55BC2C" w:rsidR="002258B0" w:rsidRPr="00EA175D" w:rsidRDefault="002258B0" w:rsidP="00B00E7A">
      <w:pPr>
        <w:pStyle w:val="ab"/>
        <w:numPr>
          <w:ilvl w:val="0"/>
          <w:numId w:val="16"/>
        </w:numPr>
        <w:spacing w:after="200" w:line="360" w:lineRule="auto"/>
        <w:ind w:left="426"/>
        <w:jc w:val="both"/>
      </w:pPr>
      <w:r w:rsidRPr="00EA175D">
        <w:t>Ефективност от взаимодействие с УО на ОПИК- 41% (оценка 5); 12% (оценка 4); не отговорили – 47%;</w:t>
      </w:r>
    </w:p>
    <w:p w14:paraId="759673A5" w14:textId="4720C910" w:rsidR="002258B0" w:rsidRPr="00EA175D" w:rsidRDefault="002258B0" w:rsidP="00B00E7A">
      <w:pPr>
        <w:pStyle w:val="ab"/>
        <w:numPr>
          <w:ilvl w:val="0"/>
          <w:numId w:val="16"/>
        </w:numPr>
        <w:spacing w:after="200" w:line="360" w:lineRule="auto"/>
        <w:ind w:left="426"/>
        <w:jc w:val="both"/>
      </w:pPr>
      <w:r w:rsidRPr="00EA175D">
        <w:t>Ефективност от взаимодействие с УО на ОПНОИР- 19% (оценка 5); 5% (оценка 4); не отговорили – 76%;</w:t>
      </w:r>
    </w:p>
    <w:p w14:paraId="27DF7E26" w14:textId="4FCE4600" w:rsidR="002258B0" w:rsidRPr="00EA175D" w:rsidRDefault="002258B0" w:rsidP="00B00E7A">
      <w:pPr>
        <w:pStyle w:val="ab"/>
        <w:numPr>
          <w:ilvl w:val="0"/>
          <w:numId w:val="16"/>
        </w:numPr>
        <w:spacing w:after="200" w:line="360" w:lineRule="auto"/>
        <w:ind w:left="426"/>
        <w:jc w:val="both"/>
      </w:pPr>
      <w:r w:rsidRPr="00EA175D">
        <w:t>Ефективност от взаимодействие с УО на ОПОС- 9% (оценка 5); 8% (оценка 4); не отговорили – 79%;</w:t>
      </w:r>
    </w:p>
    <w:p w14:paraId="43F73F5C" w14:textId="04043108" w:rsidR="002258B0" w:rsidRPr="00EA175D" w:rsidRDefault="002258B0" w:rsidP="00B00E7A">
      <w:pPr>
        <w:pStyle w:val="ab"/>
        <w:numPr>
          <w:ilvl w:val="0"/>
          <w:numId w:val="16"/>
        </w:numPr>
        <w:spacing w:after="200" w:line="360" w:lineRule="auto"/>
        <w:ind w:left="426"/>
        <w:jc w:val="both"/>
      </w:pPr>
      <w:r w:rsidRPr="00EA175D">
        <w:t>Ефективност от взаимодействие с ДФЗ - 18% (оценка 5); 31% (оценка 4); 25% (оценка 3); 9% (оценка 2); 11% (оценка 1);</w:t>
      </w:r>
    </w:p>
    <w:p w14:paraId="7F46982A" w14:textId="2FD9AE83" w:rsidR="002258B0" w:rsidRPr="00EA175D" w:rsidRDefault="002258B0" w:rsidP="00B00E7A">
      <w:pPr>
        <w:pStyle w:val="ab"/>
        <w:numPr>
          <w:ilvl w:val="0"/>
          <w:numId w:val="16"/>
        </w:numPr>
        <w:spacing w:after="200" w:line="360" w:lineRule="auto"/>
        <w:ind w:left="426"/>
        <w:jc w:val="both"/>
      </w:pPr>
      <w:r w:rsidRPr="00EA175D">
        <w:t>Ефективност от взаимодействие с Министерски съвет (ИСУН) - 75% (оценка 5); 14% (оценка 4);</w:t>
      </w:r>
    </w:p>
    <w:p w14:paraId="52488B1A" w14:textId="4D08B0AE" w:rsidR="002258B0" w:rsidRPr="00EA175D" w:rsidRDefault="002258B0" w:rsidP="00B00E7A">
      <w:pPr>
        <w:pStyle w:val="ab"/>
        <w:numPr>
          <w:ilvl w:val="0"/>
          <w:numId w:val="16"/>
        </w:numPr>
        <w:spacing w:after="200" w:line="360" w:lineRule="auto"/>
        <w:ind w:left="426"/>
        <w:jc w:val="both"/>
      </w:pPr>
      <w:r w:rsidRPr="00EA175D">
        <w:t>Кандидати към стратегията за ВОМР – 63% (оценка 5); 30% (оценка 4);</w:t>
      </w:r>
    </w:p>
    <w:p w14:paraId="440D4A6C" w14:textId="616EDBED" w:rsidR="002258B0" w:rsidRPr="00EA175D" w:rsidRDefault="002258B0" w:rsidP="00B00E7A">
      <w:pPr>
        <w:pStyle w:val="ab"/>
        <w:numPr>
          <w:ilvl w:val="0"/>
          <w:numId w:val="16"/>
        </w:numPr>
        <w:spacing w:after="200" w:line="360" w:lineRule="auto"/>
        <w:ind w:left="426"/>
        <w:jc w:val="both"/>
      </w:pPr>
      <w:r w:rsidRPr="00EA175D">
        <w:t>Бенефициенти към стратегията за ВОМР – 73% (оценка 5); 20% (оценка 4);</w:t>
      </w:r>
    </w:p>
    <w:p w14:paraId="4CECF33D" w14:textId="2C6F6A15" w:rsidR="002258B0" w:rsidRPr="00EA175D" w:rsidRDefault="002258B0" w:rsidP="00B00E7A">
      <w:pPr>
        <w:pStyle w:val="ab"/>
        <w:numPr>
          <w:ilvl w:val="0"/>
          <w:numId w:val="16"/>
        </w:numPr>
        <w:spacing w:after="200" w:line="360" w:lineRule="auto"/>
        <w:ind w:left="426"/>
        <w:jc w:val="both"/>
      </w:pPr>
      <w:r w:rsidRPr="00EA175D">
        <w:lastRenderedPageBreak/>
        <w:t>Местна общност – 43% (оценка</w:t>
      </w:r>
      <w:r w:rsidR="00DD1FD0">
        <w:t xml:space="preserve"> </w:t>
      </w:r>
      <w:r w:rsidRPr="00EA175D">
        <w:t>5); 43% (оценка 4).</w:t>
      </w:r>
    </w:p>
    <w:p w14:paraId="393C5B7A" w14:textId="77777777" w:rsidR="002258B0" w:rsidRPr="00EA175D" w:rsidRDefault="002258B0" w:rsidP="00EA175D">
      <w:pPr>
        <w:spacing w:line="360" w:lineRule="auto"/>
        <w:jc w:val="both"/>
      </w:pPr>
      <w:r w:rsidRPr="00EA175D">
        <w:t xml:space="preserve">На въпрос №2  - „Необходима ли е промяна в механизма на взаимодействие между заинтересованите страни при прилагане на подхода“, по голяма част от анкетираните считат, че е наложително намаляване на административната тежест. Не са малко анкетираните, които считат, че е необходимо да се подобри комуникацията с ДФЗ. Изказани са мнения за определяне на механизми за работа предвид ситуацията в страната и променените възможности за конкретна работа в регионите. Част от анкетираните счетат, че е наложително да се положат усилия да няма прекъсване в работата на МИГ. Близо 10% от запитаните считат, че няма нужда от конкретни промени. </w:t>
      </w:r>
    </w:p>
    <w:p w14:paraId="5B8E3BDF" w14:textId="74F7EF55" w:rsidR="002258B0" w:rsidRPr="00EA175D" w:rsidRDefault="002258B0" w:rsidP="00EA175D">
      <w:pPr>
        <w:spacing w:line="360" w:lineRule="auto"/>
        <w:jc w:val="both"/>
      </w:pPr>
      <w:r w:rsidRPr="00EA175D">
        <w:t>Отговорите на въпрос №3 сочат проблемите, които са възниквали при прилагането на подхода ВОМР по отношение на взаимодействие със заинтересованите страни. Основният проблем, които се очертава пред администрацията на МИГ е забавянето на одобрението на проекти от страна на ДФЗ.  Като цяло комуникацията с ДФЗ се очертава, като основен проблем. Част от анкетираните считат, че процесът на подготовка на проекти силно се затруднява от различните правила за работа изисквани от Оперативните програми.</w:t>
      </w:r>
    </w:p>
    <w:p w14:paraId="7A9BD112" w14:textId="77777777" w:rsidR="002258B0" w:rsidRPr="00EA175D" w:rsidRDefault="002258B0" w:rsidP="00EA175D">
      <w:pPr>
        <w:spacing w:line="360" w:lineRule="auto"/>
        <w:jc w:val="both"/>
      </w:pPr>
      <w:r w:rsidRPr="00EA175D">
        <w:t>Във връзка с отговора на този въпроса и препоръките за подобряване в бъдеще на дейността по прилагане на подхода ВОМР. Голяма част от анкетираните считат, че е необходима по-добра координация с управляващите органи на съответните програми и съответно на прилагащите. Ключова теза за бъдещото развитие е въпросът за финансовите ресурси с които ще разполагат МИГ. Голяма част от анкетираните считат, че той значително трябва да се увеличи и в същото време да се гарантира независимостта на МИГ при вземане на решения. Част от анкетираните препоръчват да се: децентрализира  процеса на оценяване на проектните предложения; управление по приема и изпълнението на проекти единствено от УО на ПРСР; да се продължи много фондовото финансиране.</w:t>
      </w:r>
    </w:p>
    <w:p w14:paraId="46B0916E" w14:textId="77777777" w:rsidR="002258B0" w:rsidRPr="00EA175D" w:rsidRDefault="002258B0" w:rsidP="00EA175D">
      <w:pPr>
        <w:spacing w:line="360" w:lineRule="auto"/>
        <w:jc w:val="both"/>
      </w:pPr>
      <w:r w:rsidRPr="00EA175D">
        <w:t xml:space="preserve">Последната група въпроси са т.нар. „Общи въпроси“. </w:t>
      </w:r>
    </w:p>
    <w:p w14:paraId="7EC80665" w14:textId="77777777" w:rsidR="002258B0" w:rsidRPr="00EA175D" w:rsidRDefault="002258B0" w:rsidP="00EA175D">
      <w:pPr>
        <w:spacing w:line="360" w:lineRule="auto"/>
        <w:jc w:val="both"/>
      </w:pPr>
      <w:r w:rsidRPr="00EA175D">
        <w:lastRenderedPageBreak/>
        <w:t>Въпрос №5 изисква оценка от 1 до 5 на определени параметри на стратегията за ВОМР, а именно:</w:t>
      </w:r>
    </w:p>
    <w:p w14:paraId="5AAA3DF0" w14:textId="764801CF" w:rsidR="002258B0" w:rsidRPr="00EA175D" w:rsidRDefault="002258B0" w:rsidP="00EA175D">
      <w:pPr>
        <w:pStyle w:val="ab"/>
        <w:numPr>
          <w:ilvl w:val="0"/>
          <w:numId w:val="16"/>
        </w:numPr>
        <w:spacing w:after="200" w:line="360" w:lineRule="auto"/>
        <w:jc w:val="both"/>
      </w:pPr>
      <w:r w:rsidRPr="00EA175D">
        <w:t>Качество – 59% (оценка 5); 30% (оценка 4);</w:t>
      </w:r>
    </w:p>
    <w:p w14:paraId="5016F3BB" w14:textId="437A62C7" w:rsidR="002258B0" w:rsidRPr="00EA175D" w:rsidRDefault="002258B0" w:rsidP="00EA175D">
      <w:pPr>
        <w:pStyle w:val="ab"/>
        <w:numPr>
          <w:ilvl w:val="0"/>
          <w:numId w:val="16"/>
        </w:numPr>
        <w:spacing w:after="200" w:line="360" w:lineRule="auto"/>
        <w:jc w:val="both"/>
      </w:pPr>
      <w:r w:rsidRPr="00EA175D">
        <w:t>Устойчивост – 53% (оценка 5); 36% (оценка 4);</w:t>
      </w:r>
    </w:p>
    <w:p w14:paraId="1B913B15" w14:textId="492C3A71" w:rsidR="002258B0" w:rsidRPr="00EA175D" w:rsidRDefault="002258B0" w:rsidP="00EA175D">
      <w:pPr>
        <w:pStyle w:val="ab"/>
        <w:numPr>
          <w:ilvl w:val="0"/>
          <w:numId w:val="16"/>
        </w:numPr>
        <w:spacing w:after="200" w:line="360" w:lineRule="auto"/>
        <w:jc w:val="both"/>
      </w:pPr>
      <w:r w:rsidRPr="00EA175D">
        <w:t>Ефективност – 55% (оценка 5); 38% (оценка 4).</w:t>
      </w:r>
    </w:p>
    <w:p w14:paraId="2D94488E" w14:textId="77777777" w:rsidR="002258B0" w:rsidRPr="00EA175D" w:rsidRDefault="002258B0" w:rsidP="00EA175D">
      <w:pPr>
        <w:spacing w:line="360" w:lineRule="auto"/>
        <w:jc w:val="both"/>
      </w:pPr>
      <w:r w:rsidRPr="00EA175D">
        <w:t>Въпрос № 6 също е свързан с оценка – става въпрос за това каква добавена стойност допринася подхода ВОМР за съответната територия. Близо 58% от анкетираните отговарят положително с оценка „5“. Оценка „4“ са поставили 28%. Без мнение са 6%.</w:t>
      </w:r>
    </w:p>
    <w:p w14:paraId="2CB044B5" w14:textId="3E5A4AA2" w:rsidR="002258B0" w:rsidRPr="00EA175D" w:rsidRDefault="002258B0" w:rsidP="00EA175D">
      <w:pPr>
        <w:spacing w:line="360" w:lineRule="auto"/>
        <w:jc w:val="both"/>
      </w:pPr>
      <w:r w:rsidRPr="00EA175D">
        <w:t xml:space="preserve">Въпрос №7 е насочен към търсене на мнение за това колко човека следва да са заети в МИГ за да може да се осъществява ефективна дейност. Преобладаваща част от анкетираните считат, че екипа на МИГ следва да е минимум 4 човека ( 65%). Има и отговори, </w:t>
      </w:r>
      <w:r w:rsidR="00554343" w:rsidRPr="00EA175D">
        <w:t>ко</w:t>
      </w:r>
      <w:r w:rsidR="00554343">
        <w:t>и</w:t>
      </w:r>
      <w:r w:rsidR="00554343" w:rsidRPr="00EA175D">
        <w:t xml:space="preserve">то </w:t>
      </w:r>
      <w:r w:rsidR="00554343">
        <w:t>са</w:t>
      </w:r>
      <w:r w:rsidR="00DD1FD0" w:rsidRPr="00EA175D">
        <w:t xml:space="preserve"> </w:t>
      </w:r>
      <w:r w:rsidRPr="00EA175D">
        <w:t>в двете крайност</w:t>
      </w:r>
      <w:r w:rsidR="00554343">
        <w:t>и</w:t>
      </w:r>
      <w:r w:rsidRPr="00EA175D">
        <w:t xml:space="preserve">: от 3 до 6 човека. </w:t>
      </w:r>
    </w:p>
    <w:p w14:paraId="0884098D" w14:textId="51266978" w:rsidR="004940D0" w:rsidRPr="00EA175D" w:rsidRDefault="002258B0" w:rsidP="00EA175D">
      <w:pPr>
        <w:spacing w:line="360" w:lineRule="auto"/>
        <w:jc w:val="both"/>
      </w:pPr>
      <w:r w:rsidRPr="00EA175D">
        <w:t xml:space="preserve">Въпрос №7 се отнася до това колко човека следва да са включени в УС на ОС на МИГ за да се осъществява ефективна дейност. Постигнато е пълно единодушие за боря на УС. Близо 90 на сто от анкетираните считат, че УС следва да се състои от 5 човека. В голям диапазон са отговорите за броя на ОС. Преобладават мненията, че те трябва да бъдат 20/25 човека. В същото време има предложения за 40-50 човека. Предвид разнопосочните отговори, изводът, </w:t>
      </w:r>
      <w:r w:rsidR="00554343" w:rsidRPr="00EA175D">
        <w:t>ко</w:t>
      </w:r>
      <w:r w:rsidR="00554343">
        <w:t>й</w:t>
      </w:r>
      <w:r w:rsidR="00554343" w:rsidRPr="00EA175D">
        <w:t xml:space="preserve">то </w:t>
      </w:r>
      <w:r w:rsidRPr="00EA175D">
        <w:t>може да се направи е, че според спецификата на територията следва да се определи и б</w:t>
      </w:r>
      <w:r w:rsidR="00101F86">
        <w:t>ро</w:t>
      </w:r>
      <w:r w:rsidRPr="00EA175D">
        <w:t>я на членовете на ОС.</w:t>
      </w:r>
    </w:p>
    <w:p w14:paraId="780BCAEE" w14:textId="6142FA7C" w:rsidR="004B2FFC" w:rsidRPr="00EA175D" w:rsidRDefault="004940D0" w:rsidP="00EA175D">
      <w:pPr>
        <w:pStyle w:val="1"/>
        <w:numPr>
          <w:ilvl w:val="0"/>
          <w:numId w:val="1"/>
        </w:numPr>
        <w:spacing w:line="360" w:lineRule="auto"/>
        <w:jc w:val="both"/>
        <w:rPr>
          <w:rFonts w:ascii="Times New Roman" w:hAnsi="Times New Roman" w:cs="Times New Roman"/>
          <w:color w:val="auto"/>
          <w:sz w:val="24"/>
          <w:szCs w:val="24"/>
        </w:rPr>
      </w:pPr>
      <w:bookmarkStart w:id="45" w:name="_Toc93489798"/>
      <w:r w:rsidRPr="00EA175D">
        <w:rPr>
          <w:rFonts w:ascii="Times New Roman" w:hAnsi="Times New Roman" w:cs="Times New Roman"/>
          <w:color w:val="auto"/>
          <w:sz w:val="24"/>
          <w:szCs w:val="24"/>
        </w:rPr>
        <w:t>Заключения и препоръки</w:t>
      </w:r>
      <w:bookmarkEnd w:id="45"/>
    </w:p>
    <w:p w14:paraId="6D2C8DA6" w14:textId="77777777" w:rsidR="009E6C8F" w:rsidRPr="00EA175D" w:rsidRDefault="009E6C8F" w:rsidP="00EA175D">
      <w:pPr>
        <w:pStyle w:val="ab"/>
        <w:spacing w:line="360" w:lineRule="auto"/>
        <w:ind w:left="1070"/>
        <w:jc w:val="both"/>
      </w:pPr>
    </w:p>
    <w:p w14:paraId="56770749" w14:textId="49A90C31" w:rsidR="004B2FFC" w:rsidRPr="00EA175D" w:rsidRDefault="004B2FFC" w:rsidP="005F3B27">
      <w:pPr>
        <w:spacing w:line="360" w:lineRule="auto"/>
        <w:ind w:firstLine="710"/>
        <w:jc w:val="both"/>
      </w:pPr>
      <w:r w:rsidRPr="00EA175D">
        <w:t xml:space="preserve">В програмният период на Програмата за развитие на селските райони (ПРСР) </w:t>
      </w:r>
      <w:r w:rsidR="00554343">
        <w:t>с</w:t>
      </w:r>
      <w:r w:rsidR="00554343" w:rsidRPr="00EA175D">
        <w:t xml:space="preserve">а </w:t>
      </w:r>
      <w:r w:rsidRPr="00EA175D">
        <w:t xml:space="preserve">проведени два приема по подмярка 19.2 „Прилагане на операции в рамките на стратегии за Водено от общностите местно развитие“. Одобрени са  и се изпълняват стратегии на ВОМР на 64 МИГ в 117 общини с територия от 53 8282 кв. км. По този начин е изпълнен на 107% планираният в ПРСР за периода 2014-2020 г. показател по отношение на броя </w:t>
      </w:r>
      <w:r w:rsidRPr="00EA175D">
        <w:lastRenderedPageBreak/>
        <w:t>на одобрените МИГ. Населението обхванато от МИГ е 1 646 496 жители, като по този начин е изпълнен на 120% планираният в ПРСР показател.</w:t>
      </w:r>
    </w:p>
    <w:p w14:paraId="2F5F6CBD" w14:textId="77777777" w:rsidR="004B2FFC" w:rsidRPr="00EA175D" w:rsidRDefault="004B2FFC" w:rsidP="00EA175D">
      <w:pPr>
        <w:spacing w:line="360" w:lineRule="auto"/>
        <w:jc w:val="both"/>
      </w:pPr>
      <w:r w:rsidRPr="00EA175D">
        <w:t>Представените стратегии в голямата си част бяха насочени към ПРСР, като договореният бюджет е 99.7% от разполагаемите средства. От 64-те одобрени стратегии, 39 са многофондови и 25 са еднофондови. При многофондовите стратегии се отчита загуба на средства и те са както следва по оперативни програми: ОПИК – 54.27% договорен бюджет; ОПРЧР – 46.58%; ОПОС – 35.40%; ОПНОИР – 12.69%.</w:t>
      </w:r>
    </w:p>
    <w:p w14:paraId="7ADB53BE" w14:textId="77777777" w:rsidR="004B2FFC" w:rsidRPr="00EA175D" w:rsidRDefault="004B2FFC" w:rsidP="00EA175D">
      <w:pPr>
        <w:spacing w:line="360" w:lineRule="auto"/>
        <w:jc w:val="both"/>
      </w:pPr>
      <w:r w:rsidRPr="00EA175D">
        <w:t>Отбелязан е значителен напредък по подхода ВОМР по отношение на договарянето на средствата от стратегиите за ВОМР към крайните бенефециенти – частни фирми и земеделски стопани, неправителствени организации, общини. Общият брой на одобрените процедури по подхода ВОМР към 30.09.2021 г. е общо 759 за подбор на проектни предложения. От тях 61.92% са по ПРСР, която е и програма с най-голям финансов ресурс. Данните сочат, че по подхода ВОМР от страна и на управляващият орган и на МИГ е извършена голяма по обем и значение работа, която е в полза на развитието на местните общности и техните територии. От тази гледна точка може да се постави висока оценка на работата по одобрение на процедурите за подбор на проектни предложения, извършена от подхода.</w:t>
      </w:r>
    </w:p>
    <w:p w14:paraId="4B288BFF" w14:textId="77777777" w:rsidR="004B2FFC" w:rsidRPr="00EA175D" w:rsidRDefault="004B2FFC" w:rsidP="00EA175D">
      <w:pPr>
        <w:spacing w:line="360" w:lineRule="auto"/>
        <w:jc w:val="both"/>
      </w:pPr>
      <w:r w:rsidRPr="00EA175D">
        <w:t>Към 30.09.2021 г. по подмярка 19.2 на подхода ВОМР са сключени общо 1 119 договора . От тях 53.08% са по ПРСР 2014-2020 г. От данните направи в анализа може да се направи извода, че са договорени проекти, насочени към подобряване на икономическите, социалните и условията на живот на местните общности.</w:t>
      </w:r>
    </w:p>
    <w:p w14:paraId="6D8F85BC" w14:textId="77777777" w:rsidR="004B2FFC" w:rsidRPr="00EA175D" w:rsidRDefault="004B2FFC" w:rsidP="00EA175D">
      <w:pPr>
        <w:spacing w:line="360" w:lineRule="auto"/>
        <w:jc w:val="both"/>
      </w:pPr>
      <w:r w:rsidRPr="00EA175D">
        <w:t>Договорените средства към 30.09.2021 г. по подмярка 19.2 на подхода ВОМР са 164 686 340.61 лева. Данните сочат, че по този показател е налице висока степен на договаряне на оперативните програми и изоставане от страна на ПРСР.</w:t>
      </w:r>
    </w:p>
    <w:p w14:paraId="360A5DCE" w14:textId="77777777" w:rsidR="004B2FFC" w:rsidRPr="00EA175D" w:rsidRDefault="004B2FFC" w:rsidP="00EA175D">
      <w:pPr>
        <w:spacing w:line="360" w:lineRule="auto"/>
        <w:jc w:val="both"/>
      </w:pPr>
      <w:r w:rsidRPr="00EA175D">
        <w:t xml:space="preserve">Поради своята специфика подхода ВОМР се характеризира с двустепенен процес на договаряне на средствата. Първият етап в този процес и договарянето на средствата по подхода към МИГ, докато вторият етап е договарянето на средствата от стратегията за ВОМР към крайни бенефициенти. Освен управляващият орган на финансиращите програми, участващи в подхода ВОМР, голяма е ролята на МИГ за извършване на </w:t>
      </w:r>
      <w:r w:rsidRPr="00EA175D">
        <w:lastRenderedPageBreak/>
        <w:t>подбор на проекти и последващото има изпращане за съгласуване от страна на съответния УО или ДФЗ.  Изводът, който може да се направи е, че в тази сложна за работа среда и предвид новостите в прилагането на подхода ВОМР, всички участници в неговото прилагане са се справили и се справят на добро ниво със своите задачи.</w:t>
      </w:r>
    </w:p>
    <w:p w14:paraId="46BD7FE0" w14:textId="75458758" w:rsidR="004B2FFC" w:rsidRPr="00EA175D" w:rsidRDefault="004B2FFC" w:rsidP="00EA175D">
      <w:pPr>
        <w:spacing w:line="360" w:lineRule="auto"/>
        <w:jc w:val="both"/>
      </w:pPr>
      <w:r w:rsidRPr="00EA175D">
        <w:t>Предоставената информация в анализа сочи, че две о</w:t>
      </w:r>
      <w:r w:rsidR="00DD1FD0">
        <w:t>т</w:t>
      </w:r>
      <w:r w:rsidRPr="00EA175D">
        <w:t xml:space="preserve"> финансиращите стратегии за  ВОМР програми, които са с най-висок дяла на възстановяване на средствата са : ОПИК 2014-2020 г. ( 47.83%) и ОПРЧР 2014-2020 г. (  51.84%). Останалите програми, особено ПРСР 2014-2020 г. изостават с възстановяването на средствата.</w:t>
      </w:r>
    </w:p>
    <w:p w14:paraId="6EDF9E9F" w14:textId="0766291E" w:rsidR="004B2FFC" w:rsidRPr="00EA175D" w:rsidRDefault="004B2FFC" w:rsidP="00EA175D">
      <w:pPr>
        <w:spacing w:line="360" w:lineRule="auto"/>
        <w:jc w:val="both"/>
      </w:pPr>
      <w:r w:rsidRPr="00EA175D">
        <w:t xml:space="preserve">Съществена част от работата на МИГ е тяхната дейност по отношение на извършени обучения, информационни кампании и конференции, а също така осигуряването на информационни материали и публикации за тяхната работа. Тези дейности се финансират изцяло от ЕЗФРСР по подмярка 19.4 и се управляват от </w:t>
      </w:r>
      <w:r w:rsidR="002F4F0A">
        <w:t>УО</w:t>
      </w:r>
      <w:r w:rsidR="002F4F0A" w:rsidRPr="00EA175D">
        <w:t xml:space="preserve"> </w:t>
      </w:r>
      <w:r w:rsidRPr="00EA175D">
        <w:t>на ПРСР 2014-2020 г. Към 30.09.2021 г. към МИГ са изплатени 49.52% от договорените от тях средства по подмярка 19.4, което е показателно за добрата работа от страна на МИГ и на ДФЗ.</w:t>
      </w:r>
    </w:p>
    <w:p w14:paraId="13D52955" w14:textId="77777777" w:rsidR="004B2FFC" w:rsidRPr="00EA175D" w:rsidRDefault="004B2FFC" w:rsidP="00EA175D">
      <w:pPr>
        <w:spacing w:line="360" w:lineRule="auto"/>
        <w:jc w:val="both"/>
      </w:pPr>
      <w:r w:rsidRPr="00EA175D">
        <w:t>Съгласно нормативната уредба за прилагане на подхода ВОМР всяка стратегия следва да съдържа индикатори за мониторинг и оценка. В изпълнение на одитен екип на Сметна палата УО на ПРСР 2014-2020 г. е извършил оценка на постигането на индикаторите за цялостното прилагане на всяка стратегия към 31.12.2019 г. Обект на настоящата  оценка са 1 095 броя индикатори за цялостно прилагане на стратегиите. Екипът, извършващ настоящата оценка се запозна детайлно с всички видове индикатори, като за нуждите на анализа те бяха групирани. За етапа на прилагане на подхода ВОМР може да се каже, че нивото на индикаторите, по които има изпълнение е сравнително добро. Следва да се подчертае, че  цялостното изпълнение на стратегиите за ВОМР са специфични за всяка стратегия и не е възможно да се предостави унифицирана картина за тяхното постигане на ниво прилагане на подхода ВОМР.</w:t>
      </w:r>
    </w:p>
    <w:p w14:paraId="739F672F" w14:textId="77777777" w:rsidR="004B2FFC" w:rsidRPr="00EA175D" w:rsidRDefault="004B2FFC" w:rsidP="00EA175D">
      <w:pPr>
        <w:spacing w:line="360" w:lineRule="auto"/>
        <w:jc w:val="both"/>
      </w:pPr>
      <w:r w:rsidRPr="00EA175D">
        <w:t xml:space="preserve">Прилагането на подхода ВОМР в програмния период 2014-2020 г., както вече бе отбелязано, включва многофондово финансиране, при което управлението на средствата се извършва от 5 управляващи органа на програми. Анализът сочи, че механизмът на администриране на подхода ВОМР в този програмен период е твърде сложен и тромав. </w:t>
      </w:r>
      <w:r w:rsidRPr="00EA175D">
        <w:lastRenderedPageBreak/>
        <w:t>Анализът показва, че прилагането на подхода ВОМР е доста затруднен за всички участници в подхода поради значителният обем от нормативни документи, които следва да се прилагат. Освен това всяка програма има свои специфични правила за прилагане на програмата, което допълнително затруднява МИГ като звеното, което трябва да прилага всички нормативни документи и всички специфични правила на всяка програма включена в стратегията.</w:t>
      </w:r>
    </w:p>
    <w:p w14:paraId="454676F3" w14:textId="5052CEC5" w:rsidR="004B2FFC" w:rsidRPr="00EA175D" w:rsidRDefault="004B2FFC" w:rsidP="00EA175D">
      <w:pPr>
        <w:spacing w:line="360" w:lineRule="auto"/>
        <w:jc w:val="both"/>
      </w:pPr>
      <w:r w:rsidRPr="00EA175D">
        <w:t>Предоставената информация относно административният капацитет на всички органи на МИГ, като общо събрание, управителни съвети и екипи, отговаря напълно на европейските и национални нормативни изисквания. Това е предпоставка за успешното изпълнение на стратегиите в съответствие с местните приоритети. Средният числен състав на общите събрания на МИГ е 43 души, което е предпоставка за добра представителност на жителите на съответната територия. В състава на общите събрания стопанския и нестопански сектори са представени с почти равни дялове (по окол</w:t>
      </w:r>
      <w:r w:rsidR="00DD1FD0">
        <w:t>о</w:t>
      </w:r>
      <w:r w:rsidRPr="00EA175D">
        <w:t xml:space="preserve"> 46%), като представителите на публичния сектор са с най-малък дял. Причината е, че основните представител на този сектор са общините, което ограничава и броят им в общите събрания. В управителните съвети публичния сектор има по-голям дял, което е разбираемо и се обяснява  с ограничения брой на техните членове. Управляващият орган на ПРСР 2014-2020 г. е създал необходимите условия за прилагане на контрол.</w:t>
      </w:r>
    </w:p>
    <w:p w14:paraId="3B4E324D" w14:textId="13D34299" w:rsidR="004B2FFC" w:rsidRPr="00EA175D" w:rsidRDefault="004B2FFC" w:rsidP="00EA175D">
      <w:pPr>
        <w:spacing w:line="360" w:lineRule="auto"/>
        <w:jc w:val="both"/>
      </w:pPr>
      <w:r w:rsidRPr="00EA175D">
        <w:t>В резултат от изпълнението на подмярка 19.1 „Помощ за подготвителни дейности“ са изпълнени общо 101 проекта на територията на 180 общини с население от 2 309 619 жители и територия от 74 433 кв. км. Чрез изпълнението на дейностите от бенефициентите са изготвени техните стратегии за ВОМР, като в процеса са организирани и проведени близо 1 200 публични събития. Общо по мярката са сключени 100 договора на обща стойност от 5 077 786.75 лева, като възстановените средства от ДФЗ са в размер на 3 886 068.72 лева. Може да се обобщи, че изпълнението на подмярка 19.1 се характеризира с голям интерес от страна на почти всички допустими общини на територията на страната и висок дял на одобрение на кандидатите.</w:t>
      </w:r>
    </w:p>
    <w:p w14:paraId="41EC8EA3" w14:textId="6435AA51" w:rsidR="004B2FFC" w:rsidRPr="00EA175D" w:rsidRDefault="004B2FFC" w:rsidP="00EA175D">
      <w:pPr>
        <w:spacing w:line="360" w:lineRule="auto"/>
        <w:jc w:val="both"/>
      </w:pPr>
      <w:r w:rsidRPr="00EA175D">
        <w:t xml:space="preserve">Към момента на изготвяне на настоящата оценка по подмярка 19.1 „Помощи за подготвителни дейности“ в частта за малки пилотни проекти има приключили два </w:t>
      </w:r>
      <w:r w:rsidRPr="00EA175D">
        <w:lastRenderedPageBreak/>
        <w:t>приема на проектни предложения, като са получени общо 31 проекта ( 7 по първи прием и 24 по втори прием) на обща стойност от 4 428 087.43 лева. Малките пилотни проекти са насочени към поддържането на местните инициативни групи, чиито стратегии н</w:t>
      </w:r>
      <w:r w:rsidR="002F4F0A">
        <w:t>е</w:t>
      </w:r>
      <w:r w:rsidRPr="00EA175D">
        <w:t xml:space="preserve"> с</w:t>
      </w:r>
      <w:r w:rsidR="002F4F0A">
        <w:t>а</w:t>
      </w:r>
      <w:r w:rsidRPr="00EA175D">
        <w:t xml:space="preserve"> финансирани по подмярка 19.2. Прилагането на малките пилотни проекти е започнало сравнително късно, тъй като оценката на подадените по втората покана по подмярка </w:t>
      </w:r>
      <w:r w:rsidR="002F4F0A" w:rsidRPr="00EA175D">
        <w:t>1</w:t>
      </w:r>
      <w:r w:rsidR="002F4F0A">
        <w:t>9</w:t>
      </w:r>
      <w:r w:rsidRPr="00EA175D">
        <w:t xml:space="preserve">.2 стратегии за ВОМР е приключила в края на 2017 година. От тази гледна точка намерението за поддържане на МИГ, останали без финансиране на своите стратегии е закъсняло. От друга страна анализът сочи, че и по двата приема е регистриран интерес от страна на местните инициативни групи, което показва, че намеренията на УО на ПРСР за прилагането на малки пилотни проекти е обосновано и правилно. Предвид етапа на оценка и прилагане на малките пилотни проекти към настоящият момент не могат да се направят обосновани заключения относно тяхното въздействие. </w:t>
      </w:r>
    </w:p>
    <w:p w14:paraId="2B28D4D0" w14:textId="77777777" w:rsidR="004B2FFC" w:rsidRPr="00EA175D" w:rsidRDefault="004B2FFC" w:rsidP="00EA175D">
      <w:pPr>
        <w:spacing w:line="360" w:lineRule="auto"/>
        <w:jc w:val="both"/>
      </w:pPr>
      <w:r w:rsidRPr="00EA175D">
        <w:t>В периода обхванат от настоящата оценка в стратегиите за ВОМР и в МИГ са извършени общо 704 промени, от които в стратегиите – 222 и в МИГ – 482. От промените в МИГ следва да се обърне внимание на високият брой промени в екипите. В екипите на МИГ работят общо 230 (средно по 4 души в МИГ) души, като в процеса на изпълнение на стратегиите за ВОМР са извършени 147 промени.</w:t>
      </w:r>
    </w:p>
    <w:p w14:paraId="587901FC" w14:textId="77777777" w:rsidR="004B2FFC" w:rsidRPr="00EA175D" w:rsidRDefault="004B2FFC" w:rsidP="00EA175D">
      <w:pPr>
        <w:spacing w:line="360" w:lineRule="auto"/>
        <w:jc w:val="both"/>
      </w:pPr>
      <w:r w:rsidRPr="00EA175D">
        <w:t>През обследвания период специално внимание е обърната на прилагането на подмярка 19.3 „Подготовка и изпълнение на дейности за сътрудничество на местните инициативни групи“ от ПРСР 2014-2020 г. Броят на сключените договори</w:t>
      </w:r>
      <w:r w:rsidRPr="00EA175D">
        <w:rPr>
          <w:lang w:val="en-US"/>
        </w:rPr>
        <w:t xml:space="preserve"> e </w:t>
      </w:r>
      <w:r w:rsidRPr="00EA175D">
        <w:t>39 от които 13 са за сътрудничество и 26 за подготвителни дейности. Най-голям интерес по подмярката има към сътрудничество с МИГ от различни страни от ЕС. Такива са 32 от проектите (82%). Следва да се отбележи сравнително ниското ниво (17.6%) на възстановяване на средствата от страна на ДФЗ, което може да доведе до затруднения във финансирането на МИГ и съответно в прилагане на подмярката.</w:t>
      </w:r>
    </w:p>
    <w:p w14:paraId="354DF2E5" w14:textId="77777777" w:rsidR="004B2FFC" w:rsidRPr="00EA175D" w:rsidRDefault="004B2FFC" w:rsidP="00EA175D">
      <w:pPr>
        <w:spacing w:line="360" w:lineRule="auto"/>
        <w:jc w:val="both"/>
      </w:pPr>
      <w:r w:rsidRPr="00EA175D">
        <w:t xml:space="preserve">Намалява значително административната тежест, тъй като цялата кореспонденция между кандидатите и оценителните комисии на МИГ, оценката на проектните предложения на кандидатите на МИГ, проверката на проведената процедура  и на проектните предложения от страна на ДФЗ се извършава в системата ИСУН. Целият процес може да </w:t>
      </w:r>
      <w:r w:rsidRPr="00EA175D">
        <w:lastRenderedPageBreak/>
        <w:t xml:space="preserve">бъде проследен и не е възможна подмяна на документи от страна на кандидата или от страна на МИГ. </w:t>
      </w:r>
    </w:p>
    <w:p w14:paraId="2134DC78" w14:textId="338AC6D9" w:rsidR="004B2FFC" w:rsidRPr="00EA175D" w:rsidRDefault="004B2FFC" w:rsidP="00EA175D">
      <w:pPr>
        <w:spacing w:line="360" w:lineRule="auto"/>
        <w:jc w:val="both"/>
      </w:pPr>
      <w:r w:rsidRPr="00EA175D">
        <w:t>Намалява се административната тежест при изпълнение на проектите и мониторинга на контрола от страна на МИГ на бенефициентите на проектите, той като и тези дейности се извършват н ИСУН</w:t>
      </w:r>
    </w:p>
    <w:p w14:paraId="6DFB4A92" w14:textId="77777777" w:rsidR="00732E8B" w:rsidRPr="00B00E7A" w:rsidRDefault="00732E8B" w:rsidP="00EA175D">
      <w:pPr>
        <w:spacing w:line="360" w:lineRule="auto"/>
        <w:jc w:val="both"/>
        <w:rPr>
          <w:b/>
          <w:bCs/>
        </w:rPr>
      </w:pPr>
    </w:p>
    <w:p w14:paraId="03FAB838" w14:textId="437054ED" w:rsidR="004B2FFC" w:rsidRPr="00B00E7A" w:rsidRDefault="004B2FFC" w:rsidP="00EA175D">
      <w:pPr>
        <w:spacing w:line="360" w:lineRule="auto"/>
        <w:jc w:val="both"/>
        <w:rPr>
          <w:b/>
          <w:bCs/>
        </w:rPr>
      </w:pPr>
      <w:r w:rsidRPr="00B00E7A">
        <w:rPr>
          <w:b/>
          <w:bCs/>
        </w:rPr>
        <w:t>П</w:t>
      </w:r>
      <w:r w:rsidR="00B00E7A" w:rsidRPr="00B00E7A">
        <w:rPr>
          <w:b/>
          <w:bCs/>
        </w:rPr>
        <w:t>репоръки</w:t>
      </w:r>
      <w:r w:rsidR="00732E8B" w:rsidRPr="00B00E7A">
        <w:rPr>
          <w:b/>
          <w:bCs/>
        </w:rPr>
        <w:t>:</w:t>
      </w:r>
    </w:p>
    <w:p w14:paraId="447A00E7" w14:textId="79D3D18B" w:rsidR="004B2FFC" w:rsidRDefault="004B2FFC" w:rsidP="00EA175D">
      <w:pPr>
        <w:pStyle w:val="ab"/>
        <w:numPr>
          <w:ilvl w:val="0"/>
          <w:numId w:val="17"/>
        </w:numPr>
        <w:spacing w:after="160" w:line="360" w:lineRule="auto"/>
        <w:jc w:val="both"/>
      </w:pPr>
      <w:r w:rsidRPr="00EA175D">
        <w:t>Стартирането на прием на стратегии през новия програмен период следва да даде възможност да се разшири полето на прилагане на подхода ЛИДЕР в общини, които не са включени през изминалия програмен период;</w:t>
      </w:r>
    </w:p>
    <w:p w14:paraId="4C89B666" w14:textId="17454CC0" w:rsidR="006F2433" w:rsidRPr="00EA175D" w:rsidRDefault="00DB355F" w:rsidP="00EA175D">
      <w:pPr>
        <w:pStyle w:val="ab"/>
        <w:numPr>
          <w:ilvl w:val="0"/>
          <w:numId w:val="17"/>
        </w:numPr>
        <w:spacing w:after="160" w:line="360" w:lineRule="auto"/>
        <w:jc w:val="both"/>
      </w:pPr>
      <w:r>
        <w:t xml:space="preserve">Проблем през този период е недостигът на средства по ЕЗФРСР. </w:t>
      </w:r>
      <w:r w:rsidR="006F2433">
        <w:t>Следва да бъде увеличен финансовия ресурс от ЕЗФРСР за подхода ВОМР през новия програмен период с цел финансиране на повече стратегии за ВОМР</w:t>
      </w:r>
      <w:r>
        <w:t>;</w:t>
      </w:r>
    </w:p>
    <w:p w14:paraId="17817F7A" w14:textId="03F51741" w:rsidR="004B2FFC" w:rsidRPr="00EA175D" w:rsidRDefault="004B2FFC" w:rsidP="00EA175D">
      <w:pPr>
        <w:pStyle w:val="ab"/>
        <w:numPr>
          <w:ilvl w:val="0"/>
          <w:numId w:val="17"/>
        </w:numPr>
        <w:spacing w:after="160" w:line="360" w:lineRule="auto"/>
        <w:jc w:val="both"/>
      </w:pPr>
      <w:r w:rsidRPr="00EA175D">
        <w:t>Възможностите за разработване на многофондови стратегии е предпоставка за комплексно развитие на регионите. Опитът от изминалия програмен период следва да бъд</w:t>
      </w:r>
      <w:r w:rsidR="006949D8">
        <w:t xml:space="preserve">е използван за </w:t>
      </w:r>
      <w:r w:rsidRPr="00EA175D">
        <w:t xml:space="preserve"> </w:t>
      </w:r>
      <w:r w:rsidR="006949D8" w:rsidRPr="00EA175D">
        <w:t>преодол</w:t>
      </w:r>
      <w:r w:rsidR="006949D8">
        <w:t>яване на проблемите</w:t>
      </w:r>
      <w:r w:rsidR="00DB355F">
        <w:t xml:space="preserve"> при многофондовото прилагане</w:t>
      </w:r>
      <w:r w:rsidRPr="00EA175D">
        <w:t>.</w:t>
      </w:r>
    </w:p>
    <w:p w14:paraId="5E0431D4" w14:textId="7B031B92" w:rsidR="004B2FFC" w:rsidRPr="00EA175D" w:rsidRDefault="004B2FFC" w:rsidP="00EA175D">
      <w:pPr>
        <w:pStyle w:val="ab"/>
        <w:numPr>
          <w:ilvl w:val="0"/>
          <w:numId w:val="17"/>
        </w:numPr>
        <w:spacing w:after="160" w:line="360" w:lineRule="auto"/>
        <w:jc w:val="both"/>
      </w:pPr>
      <w:r w:rsidRPr="00EA175D">
        <w:t xml:space="preserve">Проблем през този програмен период е сравнително ниските показатели на </w:t>
      </w:r>
      <w:r w:rsidR="006949D8" w:rsidRPr="00EA175D">
        <w:t>договориран</w:t>
      </w:r>
      <w:r w:rsidR="006949D8">
        <w:t>е на</w:t>
      </w:r>
      <w:r w:rsidR="006949D8" w:rsidRPr="00EA175D">
        <w:t xml:space="preserve"> </w:t>
      </w:r>
      <w:r w:rsidRPr="00EA175D">
        <w:t>средства</w:t>
      </w:r>
      <w:r w:rsidR="006949D8">
        <w:t>та по стратегиите за ВОМР</w:t>
      </w:r>
      <w:r w:rsidRPr="00EA175D">
        <w:t xml:space="preserve">. </w:t>
      </w:r>
      <w:r w:rsidR="006949D8">
        <w:t>Необходима е п</w:t>
      </w:r>
      <w:r w:rsidRPr="00EA175D">
        <w:t xml:space="preserve">ромяна на механизмите на договориране с цел ускоряване </w:t>
      </w:r>
      <w:r w:rsidR="00DB355F">
        <w:t xml:space="preserve">и опростяване </w:t>
      </w:r>
      <w:r w:rsidRPr="00EA175D">
        <w:t>на процеса на договориране.</w:t>
      </w:r>
    </w:p>
    <w:p w14:paraId="61F868EE" w14:textId="77777777" w:rsidR="004B2FFC" w:rsidRPr="00EA175D" w:rsidRDefault="004B2FFC" w:rsidP="00EA175D">
      <w:pPr>
        <w:pStyle w:val="ab"/>
        <w:numPr>
          <w:ilvl w:val="0"/>
          <w:numId w:val="17"/>
        </w:numPr>
        <w:spacing w:after="160" w:line="360" w:lineRule="auto"/>
        <w:jc w:val="both"/>
      </w:pPr>
      <w:r w:rsidRPr="00EA175D">
        <w:t>Необходими са целенасочени усилия за ускоряване на процеса на възстановяване на извършените от бенефициентите разходи, като по този начин не се допусне риск за успешното изпълнение на подхода ВОМР.</w:t>
      </w:r>
    </w:p>
    <w:p w14:paraId="11DE6747" w14:textId="4145AB4C" w:rsidR="004B2FFC" w:rsidRPr="00EA175D" w:rsidRDefault="004B2FFC" w:rsidP="00EA175D">
      <w:pPr>
        <w:pStyle w:val="ab"/>
        <w:numPr>
          <w:ilvl w:val="0"/>
          <w:numId w:val="17"/>
        </w:numPr>
        <w:spacing w:after="160" w:line="360" w:lineRule="auto"/>
        <w:jc w:val="both"/>
      </w:pPr>
      <w:r w:rsidRPr="00EA175D">
        <w:t xml:space="preserve">Целенасочено продължаване на политиката на подхода ВОМР и през следващия програмен период за приобщаване на местните общности към процеса на подготовка и изпълнение на стратегиите на ВОМР. Все по-голямото включване на местните общности в прилагането на подхода ВОМР води до сплотяването им, до </w:t>
      </w:r>
      <w:r w:rsidRPr="00EA175D">
        <w:lastRenderedPageBreak/>
        <w:t>утвърждаване на местната идентичност, до мобилизиране на местния потенциал и до задържане на все повече хора по родните места.</w:t>
      </w:r>
    </w:p>
    <w:p w14:paraId="1C2CC917" w14:textId="77777777" w:rsidR="004B2FFC" w:rsidRPr="00EA175D" w:rsidRDefault="004B2FFC" w:rsidP="00EA175D">
      <w:pPr>
        <w:pStyle w:val="ab"/>
        <w:numPr>
          <w:ilvl w:val="0"/>
          <w:numId w:val="17"/>
        </w:numPr>
        <w:spacing w:after="160" w:line="360" w:lineRule="auto"/>
        <w:jc w:val="both"/>
      </w:pPr>
      <w:r w:rsidRPr="00EA175D">
        <w:t>С цел оптимизиране на информацията относно изпълнението на индикаторите по стратегиите за ВОМР и нейното по-лесно систематизиране, обработка и извличане на съответните изводи, въз основа на които да се вземат и необходими и адекватни управленски решения, през следващият програмен период е наложително да се помисли и приложи унифициран подход за систематизиране на индикатори за цялостно изпълнение на стратегиите за ВОМР.</w:t>
      </w:r>
    </w:p>
    <w:p w14:paraId="7D2B36F7" w14:textId="28C954CF" w:rsidR="004B2FFC" w:rsidRPr="00EA175D" w:rsidRDefault="006949D8" w:rsidP="00EA175D">
      <w:pPr>
        <w:pStyle w:val="ab"/>
        <w:numPr>
          <w:ilvl w:val="0"/>
          <w:numId w:val="17"/>
        </w:numPr>
        <w:spacing w:after="160" w:line="360" w:lineRule="auto"/>
        <w:jc w:val="both"/>
      </w:pPr>
      <w:r>
        <w:t>Необходимо е о</w:t>
      </w:r>
      <w:r w:rsidR="004B2FFC" w:rsidRPr="00EA175D">
        <w:t xml:space="preserve">птимизиране на структурата и </w:t>
      </w:r>
      <w:r>
        <w:t xml:space="preserve">значително увеличение на </w:t>
      </w:r>
      <w:r w:rsidR="004B2FFC" w:rsidRPr="00EA175D">
        <w:t>числеността на персонала на отдел ВОМР. Основно направление на работа следва да бъде значителното оптимизиране на включените в структурата на прилагане на подхода ВОМР институции, както и на процеса на тяхното взаимодействие.</w:t>
      </w:r>
    </w:p>
    <w:p w14:paraId="7DE8AA19" w14:textId="77777777" w:rsidR="004B2FFC" w:rsidRPr="00EA175D" w:rsidRDefault="004B2FFC" w:rsidP="00EA175D">
      <w:pPr>
        <w:pStyle w:val="ab"/>
        <w:numPr>
          <w:ilvl w:val="0"/>
          <w:numId w:val="17"/>
        </w:numPr>
        <w:spacing w:after="160" w:line="360" w:lineRule="auto"/>
        <w:jc w:val="both"/>
      </w:pPr>
      <w:r w:rsidRPr="00EA175D">
        <w:t>Наложително е опростяване на правилата за прилагане на подхода ВОМР и намаляване на административната тежест за всички заинтересовани страни работещи по него.</w:t>
      </w:r>
    </w:p>
    <w:p w14:paraId="61D27166" w14:textId="77777777" w:rsidR="004B2FFC" w:rsidRPr="00EA175D" w:rsidRDefault="004B2FFC" w:rsidP="00EA175D">
      <w:pPr>
        <w:pStyle w:val="ab"/>
        <w:numPr>
          <w:ilvl w:val="0"/>
          <w:numId w:val="17"/>
        </w:numPr>
        <w:spacing w:after="160" w:line="360" w:lineRule="auto"/>
        <w:jc w:val="both"/>
      </w:pPr>
      <w:r w:rsidRPr="00EA175D">
        <w:t>Текучеството на кадри, които работят в МИГ е проблем, тъй като в тях  са заети висококвалифицирани специалисти със специфична квалификация и опит. Текучеството може да доведе до нежелани последици и риск при изпълнение на съответните стратегии. Това налага да се обърне сериозно внимание в мотивацията на специалистите, които ще се ангажират с дейностите по управление на МИГ.</w:t>
      </w:r>
    </w:p>
    <w:p w14:paraId="61553AAF" w14:textId="4EC746A4" w:rsidR="004B2FFC" w:rsidRPr="00EA175D" w:rsidRDefault="004B2FFC" w:rsidP="00EA175D">
      <w:pPr>
        <w:pStyle w:val="ab"/>
        <w:numPr>
          <w:ilvl w:val="0"/>
          <w:numId w:val="17"/>
        </w:numPr>
        <w:spacing w:after="160" w:line="360" w:lineRule="auto"/>
        <w:jc w:val="both"/>
      </w:pPr>
      <w:r w:rsidRPr="00EA175D">
        <w:t xml:space="preserve">При изпълнението на проекти по подмярка 19.3 могат да се идентифицират два проблема: първият е в забавянето на плащанията, за което е необходимо да се направят стъпки за по-добра координация и за преодоляване на забавените плащания;  вторият е свързан с разпространението на Ковид 19 и съответно невъзможността да се изпълня проектите предвид спецификата на дейностите. Все пак, предвид преходния период по Европейския земеделски фонд за развитие на селските райони, МИГ ще разполагат с допълнително време за извършване на </w:t>
      </w:r>
      <w:r w:rsidRPr="00EA175D">
        <w:lastRenderedPageBreak/>
        <w:t>дейностите по сътрудничество и по този начин ще се създадат предпоставки за успешно изпълнение на подмярката.</w:t>
      </w:r>
    </w:p>
    <w:p w14:paraId="0C93D7D1" w14:textId="38B6ED2A" w:rsidR="003E6392" w:rsidRPr="00EA175D" w:rsidRDefault="006F2433" w:rsidP="00EA175D">
      <w:pPr>
        <w:pStyle w:val="ab"/>
        <w:numPr>
          <w:ilvl w:val="0"/>
          <w:numId w:val="17"/>
        </w:numPr>
        <w:spacing w:after="160" w:line="360" w:lineRule="auto"/>
        <w:jc w:val="both"/>
      </w:pPr>
      <w:r>
        <w:t xml:space="preserve">Следва да продължи </w:t>
      </w:r>
      <w:r w:rsidR="004B2FFC" w:rsidRPr="00EA175D">
        <w:t>намалява</w:t>
      </w:r>
      <w:r>
        <w:t xml:space="preserve">нето на </w:t>
      </w:r>
      <w:r w:rsidR="004B2FFC" w:rsidRPr="00EA175D">
        <w:t xml:space="preserve"> административната тежест при подаване на проекти, при тяхното изпълнение, мониторинг и плащане </w:t>
      </w:r>
      <w:r>
        <w:t>при</w:t>
      </w:r>
      <w:r w:rsidRPr="00EA175D">
        <w:t xml:space="preserve"> </w:t>
      </w:r>
      <w:r w:rsidR="004B2FFC" w:rsidRPr="00EA175D">
        <w:t>използването на системата  ИСУН.</w:t>
      </w:r>
    </w:p>
    <w:sectPr w:rsidR="003E6392" w:rsidRPr="00EA175D" w:rsidSect="00265034">
      <w:headerReference w:type="default" r:id="rId53"/>
      <w:footerReference w:type="default" r:id="rId54"/>
      <w:pgSz w:w="11906" w:h="16838"/>
      <w:pgMar w:top="2683" w:right="1417" w:bottom="1417" w:left="1276" w:header="454" w:footer="680" w:gutter="0"/>
      <w:pgNumType w:start="1"/>
      <w:cols w:space="708"/>
      <w:docGrid w:linePitch="360"/>
    </w:sectPr>
  </w:body>
</w:document>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0754578" w15:done="0"/>
  <w15:commentEx w15:paraId="0EBD9A1D" w15:done="0"/>
  <w15:commentEx w15:paraId="3A5B3308" w15:done="0"/>
  <w15:commentEx w15:paraId="22EF532B" w15:done="0"/>
  <w15:commentEx w15:paraId="173FBF02" w15:done="0"/>
  <w15:commentEx w15:paraId="56F2D075" w15:done="0"/>
  <w15:commentEx w15:paraId="1F2B02A7" w15:done="0"/>
  <w15:commentEx w15:paraId="6BA698FF" w15:done="0"/>
  <w15:commentEx w15:paraId="4A2B2784" w15:done="0"/>
  <w15:commentEx w15:paraId="64BBD703" w15:done="0"/>
  <w15:commentEx w15:paraId="6750898B" w15:done="0"/>
  <w15:commentEx w15:paraId="7252B00C" w15:done="0"/>
  <w15:commentEx w15:paraId="4870E441" w15:done="0"/>
  <w15:commentEx w15:paraId="431843FC" w15:done="0"/>
  <w15:commentEx w15:paraId="4789A1B3" w15:done="0"/>
  <w15:commentEx w15:paraId="502F03C5" w15:done="0"/>
  <w15:commentEx w15:paraId="56C774A4" w15:done="0"/>
  <w15:commentEx w15:paraId="3202460A" w15:done="0"/>
  <w15:commentEx w15:paraId="577D93F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D19A04C" w14:textId="77777777" w:rsidR="00F23BAF" w:rsidRDefault="00F23BAF" w:rsidP="00626E59">
      <w:r>
        <w:separator/>
      </w:r>
    </w:p>
  </w:endnote>
  <w:endnote w:type="continuationSeparator" w:id="0">
    <w:p w14:paraId="2C30FBE2" w14:textId="77777777" w:rsidR="00F23BAF" w:rsidRDefault="00F23BAF" w:rsidP="00626E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n-ea">
    <w:panose1 w:val="00000000000000000000"/>
    <w:charset w:val="00"/>
    <w:family w:val="roman"/>
    <w:notTrueType/>
    <w:pitch w:val="default"/>
  </w:font>
  <w:font w:name="+mn-cs">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37F599" w14:textId="77777777" w:rsidR="006C23D3" w:rsidRDefault="006C23D3" w:rsidP="000627B7">
    <w:pPr>
      <w:pStyle w:val="a5"/>
      <w:jc w:val="both"/>
      <w:rPr>
        <w:rFonts w:ascii="Times New Roman" w:hAnsi="Times New Roman" w:cs="Times New Roman"/>
        <w:lang w:val="bg-BG"/>
      </w:rPr>
    </w:pPr>
  </w:p>
  <w:p w14:paraId="6E2B69BC" w14:textId="77777777" w:rsidR="006C23D3" w:rsidRDefault="006C23D3" w:rsidP="000627B7">
    <w:pPr>
      <w:pStyle w:val="a5"/>
      <w:jc w:val="both"/>
      <w:rPr>
        <w:rFonts w:ascii="Times New Roman" w:hAnsi="Times New Roman" w:cs="Times New Roman"/>
        <w:lang w:val="bg-BG"/>
      </w:rPr>
    </w:pPr>
  </w:p>
  <w:p w14:paraId="67F1957A" w14:textId="6F67345E" w:rsidR="006C23D3" w:rsidRPr="002241E7" w:rsidRDefault="006C23D3" w:rsidP="000627B7">
    <w:pPr>
      <w:pStyle w:val="a5"/>
      <w:jc w:val="both"/>
      <w:rPr>
        <w:rFonts w:ascii="Times New Roman" w:hAnsi="Times New Roman" w:cs="Times New Roman"/>
        <w:i/>
        <w:iCs/>
        <w:lang w:val="bg-BG"/>
      </w:rPr>
    </w:pPr>
    <w:r w:rsidRPr="002241E7">
      <w:rPr>
        <w:rFonts w:ascii="Times New Roman" w:hAnsi="Times New Roman" w:cs="Times New Roman"/>
        <w:i/>
        <w:iCs/>
        <w:lang w:val="bg-BG"/>
      </w:rPr>
      <w:t>„Интелект Консулт Плюс</w:t>
    </w:r>
    <w:r>
      <w:rPr>
        <w:rFonts w:ascii="Times New Roman" w:hAnsi="Times New Roman" w:cs="Times New Roman"/>
        <w:i/>
        <w:iCs/>
        <w:lang w:val="bg-BG"/>
      </w:rPr>
      <w:t>-</w:t>
    </w:r>
    <w:r w:rsidRPr="002241E7">
      <w:rPr>
        <w:rFonts w:ascii="Times New Roman" w:hAnsi="Times New Roman" w:cs="Times New Roman"/>
        <w:i/>
        <w:iCs/>
        <w:lang w:val="bg-BG"/>
      </w:rPr>
      <w:t>ЦМ“ ЕООД, ЕИК 200810344, Изпълнител по Договор №РД51-97/07.09.2021г. с предмет: „ТЕКУЩА ОЦЕНКА НА ПОДХОДА ЛИДЕР И ПОДХОДА ВОМР ОТ ПРСР (2014-2020 Г.) ДО 2020 г.“</w:t>
    </w:r>
  </w:p>
  <w:p w14:paraId="4D12DE93" w14:textId="47CAA219" w:rsidR="006C23D3" w:rsidRPr="002241E7" w:rsidRDefault="006C23D3" w:rsidP="008A6A0E">
    <w:pPr>
      <w:pStyle w:val="a5"/>
      <w:jc w:val="right"/>
      <w:rPr>
        <w:rFonts w:ascii="Times New Roman" w:hAnsi="Times New Roman" w:cs="Times New Roman"/>
        <w:i/>
        <w:iCs/>
        <w:lang w:val="bg-BG"/>
      </w:rPr>
    </w:pPr>
    <w:r w:rsidRPr="00265034">
      <w:rPr>
        <w:rFonts w:ascii="Times New Roman" w:hAnsi="Times New Roman" w:cs="Times New Roman"/>
        <w:i/>
        <w:iCs/>
        <w:lang w:val="bg-BG"/>
      </w:rPr>
      <w:fldChar w:fldCharType="begin"/>
    </w:r>
    <w:r w:rsidRPr="00265034">
      <w:rPr>
        <w:rFonts w:ascii="Times New Roman" w:hAnsi="Times New Roman" w:cs="Times New Roman"/>
        <w:i/>
        <w:iCs/>
        <w:lang w:val="bg-BG"/>
      </w:rPr>
      <w:instrText xml:space="preserve"> PAGE   \* MERGEFORMAT </w:instrText>
    </w:r>
    <w:r w:rsidRPr="00265034">
      <w:rPr>
        <w:rFonts w:ascii="Times New Roman" w:hAnsi="Times New Roman" w:cs="Times New Roman"/>
        <w:i/>
        <w:iCs/>
        <w:lang w:val="bg-BG"/>
      </w:rPr>
      <w:fldChar w:fldCharType="separate"/>
    </w:r>
    <w:r w:rsidR="00F77584">
      <w:rPr>
        <w:rFonts w:ascii="Times New Roman" w:hAnsi="Times New Roman" w:cs="Times New Roman"/>
        <w:i/>
        <w:iCs/>
        <w:noProof/>
        <w:lang w:val="bg-BG"/>
      </w:rPr>
      <w:t>155</w:t>
    </w:r>
    <w:r w:rsidRPr="00265034">
      <w:rPr>
        <w:rFonts w:ascii="Times New Roman" w:hAnsi="Times New Roman" w:cs="Times New Roman"/>
        <w:i/>
        <w:iCs/>
        <w:noProof/>
        <w:lang w:val="bg-BG"/>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BDEF5C1" w14:textId="77777777" w:rsidR="00F23BAF" w:rsidRDefault="00F23BAF" w:rsidP="00626E59">
      <w:r>
        <w:separator/>
      </w:r>
    </w:p>
  </w:footnote>
  <w:footnote w:type="continuationSeparator" w:id="0">
    <w:p w14:paraId="5B3103D3" w14:textId="77777777" w:rsidR="00F23BAF" w:rsidRDefault="00F23BAF" w:rsidP="00626E5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C391CE" w14:textId="77777777" w:rsidR="006C23D3" w:rsidRPr="00626E59" w:rsidRDefault="006C23D3" w:rsidP="00F8504A">
    <w:pPr>
      <w:pStyle w:val="a3"/>
      <w:tabs>
        <w:tab w:val="clear" w:pos="4536"/>
        <w:tab w:val="clear" w:pos="9072"/>
        <w:tab w:val="left" w:pos="7596"/>
      </w:tabs>
      <w:jc w:val="right"/>
      <w:rPr>
        <w:lang w:val="bg-BG"/>
      </w:rPr>
    </w:pPr>
    <w:r w:rsidRPr="002C193B">
      <w:rPr>
        <w:noProof/>
        <w:lang w:val="it-IT" w:eastAsia="it-IT"/>
      </w:rPr>
      <w:drawing>
        <wp:anchor distT="36576" distB="36576" distL="36576" distR="36576" simplePos="0" relativeHeight="251663360" behindDoc="0" locked="0" layoutInCell="1" allowOverlap="1" wp14:anchorId="237C775B" wp14:editId="78FBA1CA">
          <wp:simplePos x="0" y="0"/>
          <wp:positionH relativeFrom="column">
            <wp:posOffset>-121920</wp:posOffset>
          </wp:positionH>
          <wp:positionV relativeFrom="paragraph">
            <wp:posOffset>92075</wp:posOffset>
          </wp:positionV>
          <wp:extent cx="2605405" cy="1277620"/>
          <wp:effectExtent l="0" t="0" r="0" b="0"/>
          <wp:wrapNone/>
          <wp:docPr id="60" name="Picture 60" descr="ES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SIF"/>
                  <pic:cNvPicPr>
                    <a:picLocks noChangeAspect="1" noChangeArrowheads="1"/>
                  </pic:cNvPicPr>
                </pic:nvPicPr>
                <pic:blipFill>
                  <a:blip r:embed="rId1">
                    <a:extLst>
                      <a:ext uri="{28A0092B-C50C-407E-A947-70E740481C1C}">
                        <a14:useLocalDpi xmlns:a14="http://schemas.microsoft.com/office/drawing/2010/main" val="0"/>
                      </a:ext>
                    </a:extLst>
                  </a:blip>
                  <a:srcRect l="-201" t="15648" r="-93364" b="2890"/>
                  <a:stretch>
                    <a:fillRect/>
                  </a:stretch>
                </pic:blipFill>
                <pic:spPr bwMode="auto">
                  <a:xfrm>
                    <a:off x="0" y="0"/>
                    <a:ext cx="2605405" cy="127762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lang w:val="bg-BG"/>
      </w:rPr>
      <w:t xml:space="preserve">                                                                                                                                          </w:t>
    </w:r>
    <w:r w:rsidRPr="002C193B">
      <w:rPr>
        <w:b/>
        <w:noProof/>
        <w:lang w:val="it-IT" w:eastAsia="it-IT"/>
      </w:rPr>
      <w:drawing>
        <wp:inline distT="0" distB="0" distL="0" distR="0" wp14:anchorId="687ACA60" wp14:editId="49B2B8CA">
          <wp:extent cx="1431235" cy="13716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31418" cy="137177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A129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51E7C59"/>
    <w:multiLevelType w:val="hybridMultilevel"/>
    <w:tmpl w:val="A9F6C438"/>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
    <w:nsid w:val="067A1582"/>
    <w:multiLevelType w:val="hybridMultilevel"/>
    <w:tmpl w:val="17EE4F02"/>
    <w:lvl w:ilvl="0" w:tplc="66FC6AD0">
      <w:start w:val="1"/>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3">
    <w:nsid w:val="076844F3"/>
    <w:multiLevelType w:val="hybridMultilevel"/>
    <w:tmpl w:val="A490B924"/>
    <w:lvl w:ilvl="0" w:tplc="94924488">
      <w:start w:val="2"/>
      <w:numFmt w:val="bullet"/>
      <w:lvlText w:val="-"/>
      <w:lvlJc w:val="left"/>
      <w:pPr>
        <w:ind w:left="1069" w:hanging="360"/>
      </w:pPr>
      <w:rPr>
        <w:rFonts w:ascii="Times New Roman" w:eastAsia="Calibri" w:hAnsi="Times New Roman" w:cs="Times New Roman" w:hint="default"/>
      </w:rPr>
    </w:lvl>
    <w:lvl w:ilvl="1" w:tplc="04020003" w:tentative="1">
      <w:start w:val="1"/>
      <w:numFmt w:val="bullet"/>
      <w:lvlText w:val="o"/>
      <w:lvlJc w:val="left"/>
      <w:pPr>
        <w:ind w:left="1789" w:hanging="360"/>
      </w:pPr>
      <w:rPr>
        <w:rFonts w:ascii="Courier New" w:hAnsi="Courier New" w:cs="Courier New" w:hint="default"/>
      </w:rPr>
    </w:lvl>
    <w:lvl w:ilvl="2" w:tplc="04020005" w:tentative="1">
      <w:start w:val="1"/>
      <w:numFmt w:val="bullet"/>
      <w:lvlText w:val=""/>
      <w:lvlJc w:val="left"/>
      <w:pPr>
        <w:ind w:left="2509" w:hanging="360"/>
      </w:pPr>
      <w:rPr>
        <w:rFonts w:ascii="Wingdings" w:hAnsi="Wingdings" w:hint="default"/>
      </w:rPr>
    </w:lvl>
    <w:lvl w:ilvl="3" w:tplc="04020001" w:tentative="1">
      <w:start w:val="1"/>
      <w:numFmt w:val="bullet"/>
      <w:lvlText w:val=""/>
      <w:lvlJc w:val="left"/>
      <w:pPr>
        <w:ind w:left="3229" w:hanging="360"/>
      </w:pPr>
      <w:rPr>
        <w:rFonts w:ascii="Symbol" w:hAnsi="Symbol" w:hint="default"/>
      </w:rPr>
    </w:lvl>
    <w:lvl w:ilvl="4" w:tplc="04020003" w:tentative="1">
      <w:start w:val="1"/>
      <w:numFmt w:val="bullet"/>
      <w:lvlText w:val="o"/>
      <w:lvlJc w:val="left"/>
      <w:pPr>
        <w:ind w:left="3949" w:hanging="360"/>
      </w:pPr>
      <w:rPr>
        <w:rFonts w:ascii="Courier New" w:hAnsi="Courier New" w:cs="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cs="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4">
    <w:nsid w:val="20DB243B"/>
    <w:multiLevelType w:val="hybridMultilevel"/>
    <w:tmpl w:val="77E6346A"/>
    <w:lvl w:ilvl="0" w:tplc="14E2857A">
      <w:start w:val="1"/>
      <w:numFmt w:val="decimal"/>
      <w:lvlText w:val="%1."/>
      <w:lvlJc w:val="left"/>
      <w:pPr>
        <w:ind w:left="720" w:hanging="360"/>
      </w:pPr>
      <w:rPr>
        <w:rFonts w:ascii="Times New Roman" w:eastAsia="Calibri"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6565E6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2D665D98"/>
    <w:multiLevelType w:val="hybridMultilevel"/>
    <w:tmpl w:val="BCF48C40"/>
    <w:lvl w:ilvl="0" w:tplc="1C9292D0">
      <w:start w:val="1"/>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7">
    <w:nsid w:val="2EC8786C"/>
    <w:multiLevelType w:val="hybridMultilevel"/>
    <w:tmpl w:val="A5BC8628"/>
    <w:lvl w:ilvl="0" w:tplc="02667660">
      <w:start w:val="3"/>
      <w:numFmt w:val="bullet"/>
      <w:lvlText w:val="-"/>
      <w:lvlJc w:val="left"/>
      <w:pPr>
        <w:ind w:left="927" w:hanging="360"/>
      </w:pPr>
      <w:rPr>
        <w:rFonts w:ascii="Times New Roman" w:eastAsia="Calibri" w:hAnsi="Times New Roman" w:cs="Times New Roman" w:hint="default"/>
      </w:rPr>
    </w:lvl>
    <w:lvl w:ilvl="1" w:tplc="04020003" w:tentative="1">
      <w:start w:val="1"/>
      <w:numFmt w:val="bullet"/>
      <w:lvlText w:val="o"/>
      <w:lvlJc w:val="left"/>
      <w:pPr>
        <w:ind w:left="1647" w:hanging="360"/>
      </w:pPr>
      <w:rPr>
        <w:rFonts w:ascii="Courier New" w:hAnsi="Courier New" w:cs="Courier New" w:hint="default"/>
      </w:rPr>
    </w:lvl>
    <w:lvl w:ilvl="2" w:tplc="04020005" w:tentative="1">
      <w:start w:val="1"/>
      <w:numFmt w:val="bullet"/>
      <w:lvlText w:val=""/>
      <w:lvlJc w:val="left"/>
      <w:pPr>
        <w:ind w:left="2367" w:hanging="360"/>
      </w:pPr>
      <w:rPr>
        <w:rFonts w:ascii="Wingdings" w:hAnsi="Wingdings" w:hint="default"/>
      </w:rPr>
    </w:lvl>
    <w:lvl w:ilvl="3" w:tplc="04020001" w:tentative="1">
      <w:start w:val="1"/>
      <w:numFmt w:val="bullet"/>
      <w:lvlText w:val=""/>
      <w:lvlJc w:val="left"/>
      <w:pPr>
        <w:ind w:left="3087" w:hanging="360"/>
      </w:pPr>
      <w:rPr>
        <w:rFonts w:ascii="Symbol" w:hAnsi="Symbol" w:hint="default"/>
      </w:rPr>
    </w:lvl>
    <w:lvl w:ilvl="4" w:tplc="04020003" w:tentative="1">
      <w:start w:val="1"/>
      <w:numFmt w:val="bullet"/>
      <w:lvlText w:val="o"/>
      <w:lvlJc w:val="left"/>
      <w:pPr>
        <w:ind w:left="3807" w:hanging="360"/>
      </w:pPr>
      <w:rPr>
        <w:rFonts w:ascii="Courier New" w:hAnsi="Courier New" w:cs="Courier New" w:hint="default"/>
      </w:rPr>
    </w:lvl>
    <w:lvl w:ilvl="5" w:tplc="04020005" w:tentative="1">
      <w:start w:val="1"/>
      <w:numFmt w:val="bullet"/>
      <w:lvlText w:val=""/>
      <w:lvlJc w:val="left"/>
      <w:pPr>
        <w:ind w:left="4527" w:hanging="360"/>
      </w:pPr>
      <w:rPr>
        <w:rFonts w:ascii="Wingdings" w:hAnsi="Wingdings" w:hint="default"/>
      </w:rPr>
    </w:lvl>
    <w:lvl w:ilvl="6" w:tplc="04020001" w:tentative="1">
      <w:start w:val="1"/>
      <w:numFmt w:val="bullet"/>
      <w:lvlText w:val=""/>
      <w:lvlJc w:val="left"/>
      <w:pPr>
        <w:ind w:left="5247" w:hanging="360"/>
      </w:pPr>
      <w:rPr>
        <w:rFonts w:ascii="Symbol" w:hAnsi="Symbol" w:hint="default"/>
      </w:rPr>
    </w:lvl>
    <w:lvl w:ilvl="7" w:tplc="04020003" w:tentative="1">
      <w:start w:val="1"/>
      <w:numFmt w:val="bullet"/>
      <w:lvlText w:val="o"/>
      <w:lvlJc w:val="left"/>
      <w:pPr>
        <w:ind w:left="5967" w:hanging="360"/>
      </w:pPr>
      <w:rPr>
        <w:rFonts w:ascii="Courier New" w:hAnsi="Courier New" w:cs="Courier New" w:hint="default"/>
      </w:rPr>
    </w:lvl>
    <w:lvl w:ilvl="8" w:tplc="04020005" w:tentative="1">
      <w:start w:val="1"/>
      <w:numFmt w:val="bullet"/>
      <w:lvlText w:val=""/>
      <w:lvlJc w:val="left"/>
      <w:pPr>
        <w:ind w:left="6687" w:hanging="360"/>
      </w:pPr>
      <w:rPr>
        <w:rFonts w:ascii="Wingdings" w:hAnsi="Wingdings" w:hint="default"/>
      </w:rPr>
    </w:lvl>
  </w:abstractNum>
  <w:abstractNum w:abstractNumId="8">
    <w:nsid w:val="31DD2BCC"/>
    <w:multiLevelType w:val="hybridMultilevel"/>
    <w:tmpl w:val="2DDE1FB6"/>
    <w:lvl w:ilvl="0" w:tplc="800E19F4">
      <w:start w:val="1"/>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9">
    <w:nsid w:val="324A6FB9"/>
    <w:multiLevelType w:val="hybridMultilevel"/>
    <w:tmpl w:val="21AC206C"/>
    <w:lvl w:ilvl="0" w:tplc="0402000F">
      <w:start w:val="3"/>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0">
    <w:nsid w:val="3DF51B29"/>
    <w:multiLevelType w:val="hybridMultilevel"/>
    <w:tmpl w:val="399EB356"/>
    <w:lvl w:ilvl="0" w:tplc="319C9DA4">
      <w:start w:val="1"/>
      <w:numFmt w:val="upperRoman"/>
      <w:lvlText w:val="%1."/>
      <w:lvlJc w:val="left"/>
      <w:pPr>
        <w:ind w:left="1080" w:hanging="72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1">
    <w:nsid w:val="3EEB7110"/>
    <w:multiLevelType w:val="hybridMultilevel"/>
    <w:tmpl w:val="A4F611DE"/>
    <w:lvl w:ilvl="0" w:tplc="18E66DB2">
      <w:start w:val="1"/>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2">
    <w:nsid w:val="43943CA1"/>
    <w:multiLevelType w:val="hybridMultilevel"/>
    <w:tmpl w:val="64DA5BEC"/>
    <w:lvl w:ilvl="0" w:tplc="B0589EB0">
      <w:start w:val="1"/>
      <w:numFmt w:val="decimal"/>
      <w:lvlText w:val="%1."/>
      <w:lvlJc w:val="left"/>
      <w:pPr>
        <w:ind w:left="1080" w:hanging="360"/>
      </w:pPr>
      <w:rPr>
        <w:rFonts w:hint="default"/>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13">
    <w:nsid w:val="4E722095"/>
    <w:multiLevelType w:val="hybridMultilevel"/>
    <w:tmpl w:val="4D52B5D6"/>
    <w:lvl w:ilvl="0" w:tplc="391C63FC">
      <w:start w:val="1"/>
      <w:numFmt w:val="bullet"/>
      <w:lvlText w:val="-"/>
      <w:lvlJc w:val="left"/>
      <w:pPr>
        <w:ind w:left="1069" w:hanging="360"/>
      </w:pPr>
      <w:rPr>
        <w:rFonts w:ascii="Times New Roman" w:eastAsiaTheme="minorEastAsia"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nsid w:val="542605D1"/>
    <w:multiLevelType w:val="hybridMultilevel"/>
    <w:tmpl w:val="9D1E0B84"/>
    <w:lvl w:ilvl="0" w:tplc="79866A18">
      <w:numFmt w:val="bullet"/>
      <w:lvlText w:val="-"/>
      <w:lvlJc w:val="left"/>
      <w:pPr>
        <w:ind w:left="927" w:hanging="360"/>
      </w:pPr>
      <w:rPr>
        <w:rFonts w:ascii="Times New Roman" w:eastAsia="Calibri" w:hAnsi="Times New Roman" w:cs="Times New Roman" w:hint="default"/>
      </w:rPr>
    </w:lvl>
    <w:lvl w:ilvl="1" w:tplc="11EA9618">
      <w:numFmt w:val="bullet"/>
      <w:lvlText w:val="•"/>
      <w:lvlJc w:val="left"/>
      <w:pPr>
        <w:ind w:left="2007" w:hanging="720"/>
      </w:pPr>
      <w:rPr>
        <w:rFonts w:ascii="Times New Roman" w:eastAsia="Calibri" w:hAnsi="Times New Roman" w:cs="Times New Roman"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5">
    <w:nsid w:val="56B47A89"/>
    <w:multiLevelType w:val="hybridMultilevel"/>
    <w:tmpl w:val="5A4A3FFA"/>
    <w:lvl w:ilvl="0" w:tplc="73F646F4">
      <w:start w:val="1"/>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6">
    <w:nsid w:val="5F700947"/>
    <w:multiLevelType w:val="multilevel"/>
    <w:tmpl w:val="C2D84922"/>
    <w:lvl w:ilvl="0">
      <w:start w:val="1"/>
      <w:numFmt w:val="decimal"/>
      <w:lvlText w:val="%1."/>
      <w:lvlJc w:val="left"/>
      <w:pPr>
        <w:ind w:left="1070" w:hanging="360"/>
      </w:pPr>
      <w:rPr>
        <w:rFonts w:hint="default"/>
      </w:rPr>
    </w:lvl>
    <w:lvl w:ilvl="1">
      <w:start w:val="1"/>
      <w:numFmt w:val="decimal"/>
      <w:lvlText w:val="%1.%2."/>
      <w:lvlJc w:val="left"/>
      <w:pPr>
        <w:ind w:left="792" w:hanging="432"/>
      </w:pPr>
      <w:rPr>
        <w:rFonts w:ascii="Times New Roman" w:hAnsi="Times New Roman" w:cs="Times New Roman" w:hint="default"/>
        <w:b/>
        <w:color w:val="auto"/>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69413C2C"/>
    <w:multiLevelType w:val="hybridMultilevel"/>
    <w:tmpl w:val="F8FA24B4"/>
    <w:lvl w:ilvl="0" w:tplc="A0A42F18">
      <w:start w:val="1"/>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8">
    <w:nsid w:val="69B3358D"/>
    <w:multiLevelType w:val="hybridMultilevel"/>
    <w:tmpl w:val="5A4A3FFA"/>
    <w:lvl w:ilvl="0" w:tplc="73F646F4">
      <w:start w:val="1"/>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9">
    <w:nsid w:val="6D522F36"/>
    <w:multiLevelType w:val="hybridMultilevel"/>
    <w:tmpl w:val="BA503B42"/>
    <w:lvl w:ilvl="0" w:tplc="7444C22C">
      <w:start w:val="1"/>
      <w:numFmt w:val="decimal"/>
      <w:lvlText w:val="%1."/>
      <w:lvlJc w:val="left"/>
      <w:pPr>
        <w:ind w:left="2628" w:hanging="360"/>
      </w:pPr>
      <w:rPr>
        <w:rFonts w:hint="default"/>
      </w:rPr>
    </w:lvl>
    <w:lvl w:ilvl="1" w:tplc="08090019" w:tentative="1">
      <w:start w:val="1"/>
      <w:numFmt w:val="lowerLetter"/>
      <w:lvlText w:val="%2."/>
      <w:lvlJc w:val="left"/>
      <w:pPr>
        <w:ind w:left="3348" w:hanging="360"/>
      </w:pPr>
    </w:lvl>
    <w:lvl w:ilvl="2" w:tplc="0809001B" w:tentative="1">
      <w:start w:val="1"/>
      <w:numFmt w:val="lowerRoman"/>
      <w:lvlText w:val="%3."/>
      <w:lvlJc w:val="right"/>
      <w:pPr>
        <w:ind w:left="4068" w:hanging="180"/>
      </w:pPr>
    </w:lvl>
    <w:lvl w:ilvl="3" w:tplc="0809000F" w:tentative="1">
      <w:start w:val="1"/>
      <w:numFmt w:val="decimal"/>
      <w:lvlText w:val="%4."/>
      <w:lvlJc w:val="left"/>
      <w:pPr>
        <w:ind w:left="4788" w:hanging="360"/>
      </w:pPr>
    </w:lvl>
    <w:lvl w:ilvl="4" w:tplc="08090019" w:tentative="1">
      <w:start w:val="1"/>
      <w:numFmt w:val="lowerLetter"/>
      <w:lvlText w:val="%5."/>
      <w:lvlJc w:val="left"/>
      <w:pPr>
        <w:ind w:left="5508" w:hanging="360"/>
      </w:pPr>
    </w:lvl>
    <w:lvl w:ilvl="5" w:tplc="0809001B" w:tentative="1">
      <w:start w:val="1"/>
      <w:numFmt w:val="lowerRoman"/>
      <w:lvlText w:val="%6."/>
      <w:lvlJc w:val="right"/>
      <w:pPr>
        <w:ind w:left="6228" w:hanging="180"/>
      </w:pPr>
    </w:lvl>
    <w:lvl w:ilvl="6" w:tplc="0809000F" w:tentative="1">
      <w:start w:val="1"/>
      <w:numFmt w:val="decimal"/>
      <w:lvlText w:val="%7."/>
      <w:lvlJc w:val="left"/>
      <w:pPr>
        <w:ind w:left="6948" w:hanging="360"/>
      </w:pPr>
    </w:lvl>
    <w:lvl w:ilvl="7" w:tplc="08090019" w:tentative="1">
      <w:start w:val="1"/>
      <w:numFmt w:val="lowerLetter"/>
      <w:lvlText w:val="%8."/>
      <w:lvlJc w:val="left"/>
      <w:pPr>
        <w:ind w:left="7668" w:hanging="360"/>
      </w:pPr>
    </w:lvl>
    <w:lvl w:ilvl="8" w:tplc="0809001B" w:tentative="1">
      <w:start w:val="1"/>
      <w:numFmt w:val="lowerRoman"/>
      <w:lvlText w:val="%9."/>
      <w:lvlJc w:val="right"/>
      <w:pPr>
        <w:ind w:left="8388" w:hanging="180"/>
      </w:pPr>
    </w:lvl>
  </w:abstractNum>
  <w:num w:numId="1">
    <w:abstractNumId w:val="16"/>
  </w:num>
  <w:num w:numId="2">
    <w:abstractNumId w:val="19"/>
  </w:num>
  <w:num w:numId="3">
    <w:abstractNumId w:val="5"/>
  </w:num>
  <w:num w:numId="4">
    <w:abstractNumId w:val="14"/>
  </w:num>
  <w:num w:numId="5">
    <w:abstractNumId w:val="0"/>
  </w:num>
  <w:num w:numId="6">
    <w:abstractNumId w:val="11"/>
  </w:num>
  <w:num w:numId="7">
    <w:abstractNumId w:val="12"/>
  </w:num>
  <w:num w:numId="8">
    <w:abstractNumId w:val="17"/>
  </w:num>
  <w:num w:numId="9">
    <w:abstractNumId w:val="6"/>
  </w:num>
  <w:num w:numId="10">
    <w:abstractNumId w:val="15"/>
  </w:num>
  <w:num w:numId="11">
    <w:abstractNumId w:val="18"/>
  </w:num>
  <w:num w:numId="12">
    <w:abstractNumId w:val="8"/>
  </w:num>
  <w:num w:numId="13">
    <w:abstractNumId w:val="2"/>
  </w:num>
  <w:num w:numId="14">
    <w:abstractNumId w:val="7"/>
  </w:num>
  <w:num w:numId="15">
    <w:abstractNumId w:val="9"/>
  </w:num>
  <w:num w:numId="16">
    <w:abstractNumId w:val="13"/>
  </w:num>
  <w:num w:numId="17">
    <w:abstractNumId w:val="1"/>
  </w:num>
  <w:num w:numId="18">
    <w:abstractNumId w:val="4"/>
  </w:num>
  <w:num w:numId="19">
    <w:abstractNumId w:val="3"/>
  </w:num>
  <w:num w:numId="20">
    <w:abstractNumId w:val="10"/>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SR-lider">
    <w15:presenceInfo w15:providerId="None" w15:userId="RSR-lider"/>
  </w15:person>
  <w15:person w15:author="Lap">
    <w15:presenceInfo w15:providerId="None" w15:userId="La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6E59"/>
    <w:rsid w:val="00000878"/>
    <w:rsid w:val="000067E4"/>
    <w:rsid w:val="00010AC1"/>
    <w:rsid w:val="000118C4"/>
    <w:rsid w:val="00011A8F"/>
    <w:rsid w:val="00013A46"/>
    <w:rsid w:val="00014561"/>
    <w:rsid w:val="00014EEA"/>
    <w:rsid w:val="00022E6F"/>
    <w:rsid w:val="00027D40"/>
    <w:rsid w:val="0003012E"/>
    <w:rsid w:val="00033510"/>
    <w:rsid w:val="00041BCD"/>
    <w:rsid w:val="0004234D"/>
    <w:rsid w:val="000447FD"/>
    <w:rsid w:val="00046B24"/>
    <w:rsid w:val="00050DDA"/>
    <w:rsid w:val="00057058"/>
    <w:rsid w:val="000627B7"/>
    <w:rsid w:val="0006486D"/>
    <w:rsid w:val="00065AA5"/>
    <w:rsid w:val="00066E02"/>
    <w:rsid w:val="00071081"/>
    <w:rsid w:val="0007253D"/>
    <w:rsid w:val="00074D6F"/>
    <w:rsid w:val="0008230C"/>
    <w:rsid w:val="00082EDD"/>
    <w:rsid w:val="00086D03"/>
    <w:rsid w:val="0009106A"/>
    <w:rsid w:val="000A155D"/>
    <w:rsid w:val="000A2298"/>
    <w:rsid w:val="000A3903"/>
    <w:rsid w:val="000A54C8"/>
    <w:rsid w:val="000B0A0A"/>
    <w:rsid w:val="000B0C80"/>
    <w:rsid w:val="000B371B"/>
    <w:rsid w:val="000B4226"/>
    <w:rsid w:val="000B4554"/>
    <w:rsid w:val="000B5C19"/>
    <w:rsid w:val="000C0472"/>
    <w:rsid w:val="000C175E"/>
    <w:rsid w:val="000C1821"/>
    <w:rsid w:val="000C1891"/>
    <w:rsid w:val="000C20FF"/>
    <w:rsid w:val="000C2D4A"/>
    <w:rsid w:val="000C5EF2"/>
    <w:rsid w:val="000D00F9"/>
    <w:rsid w:val="000D1E34"/>
    <w:rsid w:val="000D3326"/>
    <w:rsid w:val="000D3D22"/>
    <w:rsid w:val="000D7978"/>
    <w:rsid w:val="000E1D5D"/>
    <w:rsid w:val="000F123B"/>
    <w:rsid w:val="000F3D5E"/>
    <w:rsid w:val="000F4E4C"/>
    <w:rsid w:val="000F6E2B"/>
    <w:rsid w:val="000F7F9B"/>
    <w:rsid w:val="00100322"/>
    <w:rsid w:val="00100AEA"/>
    <w:rsid w:val="00101F86"/>
    <w:rsid w:val="00104543"/>
    <w:rsid w:val="00104C1C"/>
    <w:rsid w:val="00117932"/>
    <w:rsid w:val="0012292A"/>
    <w:rsid w:val="0012742E"/>
    <w:rsid w:val="001338D2"/>
    <w:rsid w:val="00134844"/>
    <w:rsid w:val="00135D08"/>
    <w:rsid w:val="001360DE"/>
    <w:rsid w:val="001369B6"/>
    <w:rsid w:val="00137EA7"/>
    <w:rsid w:val="00141764"/>
    <w:rsid w:val="00142DC1"/>
    <w:rsid w:val="00142DDB"/>
    <w:rsid w:val="00145F81"/>
    <w:rsid w:val="00145FBF"/>
    <w:rsid w:val="00146288"/>
    <w:rsid w:val="00147B77"/>
    <w:rsid w:val="00154314"/>
    <w:rsid w:val="00155C75"/>
    <w:rsid w:val="00156DDA"/>
    <w:rsid w:val="0016279D"/>
    <w:rsid w:val="001630AE"/>
    <w:rsid w:val="00165A99"/>
    <w:rsid w:val="0016732D"/>
    <w:rsid w:val="001761A1"/>
    <w:rsid w:val="00177731"/>
    <w:rsid w:val="00181C7D"/>
    <w:rsid w:val="00182D32"/>
    <w:rsid w:val="00185E40"/>
    <w:rsid w:val="001909A1"/>
    <w:rsid w:val="001923DA"/>
    <w:rsid w:val="001A0364"/>
    <w:rsid w:val="001A47EA"/>
    <w:rsid w:val="001A5012"/>
    <w:rsid w:val="001A5615"/>
    <w:rsid w:val="001A7DB7"/>
    <w:rsid w:val="001B0EF1"/>
    <w:rsid w:val="001B73FF"/>
    <w:rsid w:val="001C0129"/>
    <w:rsid w:val="001C0E07"/>
    <w:rsid w:val="001D2057"/>
    <w:rsid w:val="001D7CD7"/>
    <w:rsid w:val="001E0A70"/>
    <w:rsid w:val="001E12C8"/>
    <w:rsid w:val="001E24E1"/>
    <w:rsid w:val="001E567A"/>
    <w:rsid w:val="001E5E5A"/>
    <w:rsid w:val="001F20F6"/>
    <w:rsid w:val="00200842"/>
    <w:rsid w:val="00202A35"/>
    <w:rsid w:val="002035A3"/>
    <w:rsid w:val="00205820"/>
    <w:rsid w:val="0020610F"/>
    <w:rsid w:val="002241E7"/>
    <w:rsid w:val="002258B0"/>
    <w:rsid w:val="00231597"/>
    <w:rsid w:val="0023289E"/>
    <w:rsid w:val="00235DEC"/>
    <w:rsid w:val="002405CF"/>
    <w:rsid w:val="00240F21"/>
    <w:rsid w:val="002438C7"/>
    <w:rsid w:val="00247A9F"/>
    <w:rsid w:val="00251D1D"/>
    <w:rsid w:val="00255A48"/>
    <w:rsid w:val="00256BE1"/>
    <w:rsid w:val="00256C13"/>
    <w:rsid w:val="00257F5F"/>
    <w:rsid w:val="00261611"/>
    <w:rsid w:val="0026266C"/>
    <w:rsid w:val="002628A3"/>
    <w:rsid w:val="002648DB"/>
    <w:rsid w:val="00265034"/>
    <w:rsid w:val="002650A0"/>
    <w:rsid w:val="0026512D"/>
    <w:rsid w:val="00265B48"/>
    <w:rsid w:val="00277758"/>
    <w:rsid w:val="00277E7C"/>
    <w:rsid w:val="00284C19"/>
    <w:rsid w:val="0028515B"/>
    <w:rsid w:val="002904C7"/>
    <w:rsid w:val="00290882"/>
    <w:rsid w:val="00290B7F"/>
    <w:rsid w:val="00294911"/>
    <w:rsid w:val="002957B7"/>
    <w:rsid w:val="00296EF1"/>
    <w:rsid w:val="002A495E"/>
    <w:rsid w:val="002B1D88"/>
    <w:rsid w:val="002C2201"/>
    <w:rsid w:val="002C48E9"/>
    <w:rsid w:val="002C6A18"/>
    <w:rsid w:val="002C7D65"/>
    <w:rsid w:val="002D6AFB"/>
    <w:rsid w:val="002E3B52"/>
    <w:rsid w:val="002E691C"/>
    <w:rsid w:val="002E7BD3"/>
    <w:rsid w:val="002F03A7"/>
    <w:rsid w:val="002F2803"/>
    <w:rsid w:val="002F4628"/>
    <w:rsid w:val="002F4F0A"/>
    <w:rsid w:val="002F555E"/>
    <w:rsid w:val="002F6859"/>
    <w:rsid w:val="00300603"/>
    <w:rsid w:val="0030369F"/>
    <w:rsid w:val="00305180"/>
    <w:rsid w:val="0030551D"/>
    <w:rsid w:val="00306286"/>
    <w:rsid w:val="00306350"/>
    <w:rsid w:val="00306D5F"/>
    <w:rsid w:val="003115DD"/>
    <w:rsid w:val="003116D5"/>
    <w:rsid w:val="00312FE8"/>
    <w:rsid w:val="0031495D"/>
    <w:rsid w:val="00316DDA"/>
    <w:rsid w:val="0032092F"/>
    <w:rsid w:val="00320B66"/>
    <w:rsid w:val="00335CCD"/>
    <w:rsid w:val="00337600"/>
    <w:rsid w:val="003408B6"/>
    <w:rsid w:val="00341B15"/>
    <w:rsid w:val="00341F26"/>
    <w:rsid w:val="00342526"/>
    <w:rsid w:val="00346F3F"/>
    <w:rsid w:val="003500F5"/>
    <w:rsid w:val="003504C9"/>
    <w:rsid w:val="00350CCD"/>
    <w:rsid w:val="00352AB8"/>
    <w:rsid w:val="00355D74"/>
    <w:rsid w:val="00357E78"/>
    <w:rsid w:val="003611E7"/>
    <w:rsid w:val="003617A7"/>
    <w:rsid w:val="00363579"/>
    <w:rsid w:val="003644EE"/>
    <w:rsid w:val="0037413C"/>
    <w:rsid w:val="00377CF9"/>
    <w:rsid w:val="00387BB9"/>
    <w:rsid w:val="00393E13"/>
    <w:rsid w:val="00396192"/>
    <w:rsid w:val="00396F19"/>
    <w:rsid w:val="00397B1D"/>
    <w:rsid w:val="003A2DB7"/>
    <w:rsid w:val="003A562F"/>
    <w:rsid w:val="003B02CD"/>
    <w:rsid w:val="003B03B1"/>
    <w:rsid w:val="003B0A75"/>
    <w:rsid w:val="003B5FC0"/>
    <w:rsid w:val="003C13B9"/>
    <w:rsid w:val="003C29A8"/>
    <w:rsid w:val="003C4892"/>
    <w:rsid w:val="003C4D63"/>
    <w:rsid w:val="003C58FE"/>
    <w:rsid w:val="003C7021"/>
    <w:rsid w:val="003C71CB"/>
    <w:rsid w:val="003D41FB"/>
    <w:rsid w:val="003D717A"/>
    <w:rsid w:val="003E317D"/>
    <w:rsid w:val="003E3415"/>
    <w:rsid w:val="003E525A"/>
    <w:rsid w:val="003E6392"/>
    <w:rsid w:val="003E6DDC"/>
    <w:rsid w:val="003E71AA"/>
    <w:rsid w:val="003F0367"/>
    <w:rsid w:val="003F1D8A"/>
    <w:rsid w:val="003F21CA"/>
    <w:rsid w:val="003F2EB4"/>
    <w:rsid w:val="00400AC9"/>
    <w:rsid w:val="00402CE1"/>
    <w:rsid w:val="004051D2"/>
    <w:rsid w:val="004064CD"/>
    <w:rsid w:val="0040675A"/>
    <w:rsid w:val="004103A0"/>
    <w:rsid w:val="0041430C"/>
    <w:rsid w:val="004162F2"/>
    <w:rsid w:val="004260CF"/>
    <w:rsid w:val="004279FC"/>
    <w:rsid w:val="00432FEF"/>
    <w:rsid w:val="004375DE"/>
    <w:rsid w:val="00441061"/>
    <w:rsid w:val="0044148E"/>
    <w:rsid w:val="00443FD7"/>
    <w:rsid w:val="00444A35"/>
    <w:rsid w:val="00457BB8"/>
    <w:rsid w:val="00460639"/>
    <w:rsid w:val="004609C3"/>
    <w:rsid w:val="00461A4D"/>
    <w:rsid w:val="004665F2"/>
    <w:rsid w:val="00466F15"/>
    <w:rsid w:val="00476215"/>
    <w:rsid w:val="00477BFE"/>
    <w:rsid w:val="0048663E"/>
    <w:rsid w:val="00487BD9"/>
    <w:rsid w:val="00492D0B"/>
    <w:rsid w:val="00493AE7"/>
    <w:rsid w:val="00493FEB"/>
    <w:rsid w:val="004940D0"/>
    <w:rsid w:val="0049782C"/>
    <w:rsid w:val="004A0835"/>
    <w:rsid w:val="004A0926"/>
    <w:rsid w:val="004A0EEC"/>
    <w:rsid w:val="004A2686"/>
    <w:rsid w:val="004A2B09"/>
    <w:rsid w:val="004A2CE6"/>
    <w:rsid w:val="004A60E8"/>
    <w:rsid w:val="004A7DAA"/>
    <w:rsid w:val="004B0BE3"/>
    <w:rsid w:val="004B2FFC"/>
    <w:rsid w:val="004B5674"/>
    <w:rsid w:val="004C1A5E"/>
    <w:rsid w:val="004C79A5"/>
    <w:rsid w:val="004D4AA9"/>
    <w:rsid w:val="004E087C"/>
    <w:rsid w:val="004E507A"/>
    <w:rsid w:val="004E61C7"/>
    <w:rsid w:val="004E6F25"/>
    <w:rsid w:val="004F0293"/>
    <w:rsid w:val="004F2134"/>
    <w:rsid w:val="004F7284"/>
    <w:rsid w:val="004F7A65"/>
    <w:rsid w:val="00500303"/>
    <w:rsid w:val="005043D4"/>
    <w:rsid w:val="00504BA7"/>
    <w:rsid w:val="0050677C"/>
    <w:rsid w:val="00507FC8"/>
    <w:rsid w:val="00514DDB"/>
    <w:rsid w:val="0051500C"/>
    <w:rsid w:val="00516088"/>
    <w:rsid w:val="005223AE"/>
    <w:rsid w:val="005224F7"/>
    <w:rsid w:val="005245E7"/>
    <w:rsid w:val="005249F9"/>
    <w:rsid w:val="00526CB6"/>
    <w:rsid w:val="00532B14"/>
    <w:rsid w:val="00533A96"/>
    <w:rsid w:val="00535FED"/>
    <w:rsid w:val="005369A5"/>
    <w:rsid w:val="00536A51"/>
    <w:rsid w:val="00536E2C"/>
    <w:rsid w:val="005439B4"/>
    <w:rsid w:val="005466BA"/>
    <w:rsid w:val="00546A88"/>
    <w:rsid w:val="005537A9"/>
    <w:rsid w:val="00554343"/>
    <w:rsid w:val="00555114"/>
    <w:rsid w:val="005570B9"/>
    <w:rsid w:val="00562B01"/>
    <w:rsid w:val="00563B7D"/>
    <w:rsid w:val="005655D4"/>
    <w:rsid w:val="00565C26"/>
    <w:rsid w:val="00576970"/>
    <w:rsid w:val="0057773A"/>
    <w:rsid w:val="00580859"/>
    <w:rsid w:val="00582AE6"/>
    <w:rsid w:val="00587A14"/>
    <w:rsid w:val="005974B5"/>
    <w:rsid w:val="005A05D8"/>
    <w:rsid w:val="005A2C19"/>
    <w:rsid w:val="005B0BD4"/>
    <w:rsid w:val="005B6CE7"/>
    <w:rsid w:val="005C216B"/>
    <w:rsid w:val="005C4AF6"/>
    <w:rsid w:val="005C5C1A"/>
    <w:rsid w:val="005C7734"/>
    <w:rsid w:val="005C7B44"/>
    <w:rsid w:val="005D2E0C"/>
    <w:rsid w:val="005D3DAA"/>
    <w:rsid w:val="005D765C"/>
    <w:rsid w:val="005F18A5"/>
    <w:rsid w:val="005F3B27"/>
    <w:rsid w:val="005F45C2"/>
    <w:rsid w:val="005F5448"/>
    <w:rsid w:val="00602242"/>
    <w:rsid w:val="006029BF"/>
    <w:rsid w:val="00603202"/>
    <w:rsid w:val="00610A3B"/>
    <w:rsid w:val="00611D74"/>
    <w:rsid w:val="00612DE4"/>
    <w:rsid w:val="0061308A"/>
    <w:rsid w:val="00613C7A"/>
    <w:rsid w:val="00615AF5"/>
    <w:rsid w:val="00617BCF"/>
    <w:rsid w:val="006204C8"/>
    <w:rsid w:val="00624ACA"/>
    <w:rsid w:val="00626E59"/>
    <w:rsid w:val="00642533"/>
    <w:rsid w:val="00643F99"/>
    <w:rsid w:val="0064650D"/>
    <w:rsid w:val="00646BD0"/>
    <w:rsid w:val="006506C4"/>
    <w:rsid w:val="006552BD"/>
    <w:rsid w:val="00656191"/>
    <w:rsid w:val="006646E9"/>
    <w:rsid w:val="00665A7A"/>
    <w:rsid w:val="00667624"/>
    <w:rsid w:val="006716A7"/>
    <w:rsid w:val="00671874"/>
    <w:rsid w:val="0067254A"/>
    <w:rsid w:val="00675AAB"/>
    <w:rsid w:val="00677CFA"/>
    <w:rsid w:val="00677E70"/>
    <w:rsid w:val="00680D6A"/>
    <w:rsid w:val="006833F5"/>
    <w:rsid w:val="00691DB4"/>
    <w:rsid w:val="0069312D"/>
    <w:rsid w:val="006949D8"/>
    <w:rsid w:val="00694D7E"/>
    <w:rsid w:val="00694FD2"/>
    <w:rsid w:val="00695063"/>
    <w:rsid w:val="006950CF"/>
    <w:rsid w:val="0069771B"/>
    <w:rsid w:val="00697C61"/>
    <w:rsid w:val="006A09C7"/>
    <w:rsid w:val="006A387E"/>
    <w:rsid w:val="006B270F"/>
    <w:rsid w:val="006C07BF"/>
    <w:rsid w:val="006C1108"/>
    <w:rsid w:val="006C23D3"/>
    <w:rsid w:val="006C4273"/>
    <w:rsid w:val="006C5910"/>
    <w:rsid w:val="006D08A7"/>
    <w:rsid w:val="006D14B8"/>
    <w:rsid w:val="006D7CF2"/>
    <w:rsid w:val="006E44F9"/>
    <w:rsid w:val="006E6576"/>
    <w:rsid w:val="006F07BF"/>
    <w:rsid w:val="006F2433"/>
    <w:rsid w:val="006F4E48"/>
    <w:rsid w:val="00700088"/>
    <w:rsid w:val="00700605"/>
    <w:rsid w:val="00704440"/>
    <w:rsid w:val="0070525C"/>
    <w:rsid w:val="00710028"/>
    <w:rsid w:val="007143AF"/>
    <w:rsid w:val="00714482"/>
    <w:rsid w:val="00714A54"/>
    <w:rsid w:val="00716656"/>
    <w:rsid w:val="00726B52"/>
    <w:rsid w:val="00732E8B"/>
    <w:rsid w:val="00734C88"/>
    <w:rsid w:val="007365B9"/>
    <w:rsid w:val="00737216"/>
    <w:rsid w:val="00737321"/>
    <w:rsid w:val="00737840"/>
    <w:rsid w:val="0074151F"/>
    <w:rsid w:val="00741AB6"/>
    <w:rsid w:val="00745698"/>
    <w:rsid w:val="007510A4"/>
    <w:rsid w:val="00752785"/>
    <w:rsid w:val="00753B7F"/>
    <w:rsid w:val="00753DB9"/>
    <w:rsid w:val="00754083"/>
    <w:rsid w:val="00755FAB"/>
    <w:rsid w:val="00756885"/>
    <w:rsid w:val="00761AD6"/>
    <w:rsid w:val="00762A9B"/>
    <w:rsid w:val="007715E0"/>
    <w:rsid w:val="007724A5"/>
    <w:rsid w:val="007724AB"/>
    <w:rsid w:val="0077427A"/>
    <w:rsid w:val="00775EEE"/>
    <w:rsid w:val="00781702"/>
    <w:rsid w:val="00782787"/>
    <w:rsid w:val="00782B22"/>
    <w:rsid w:val="007835C2"/>
    <w:rsid w:val="007856BA"/>
    <w:rsid w:val="00786566"/>
    <w:rsid w:val="00791231"/>
    <w:rsid w:val="00793961"/>
    <w:rsid w:val="007A16C5"/>
    <w:rsid w:val="007A2F7D"/>
    <w:rsid w:val="007A5606"/>
    <w:rsid w:val="007B0C98"/>
    <w:rsid w:val="007B5E25"/>
    <w:rsid w:val="007B7728"/>
    <w:rsid w:val="007D616F"/>
    <w:rsid w:val="007D7A6E"/>
    <w:rsid w:val="007D7D58"/>
    <w:rsid w:val="007E2D94"/>
    <w:rsid w:val="007E58D3"/>
    <w:rsid w:val="007E7FFA"/>
    <w:rsid w:val="007F5D18"/>
    <w:rsid w:val="007F6614"/>
    <w:rsid w:val="007F6D2F"/>
    <w:rsid w:val="00802D5D"/>
    <w:rsid w:val="008051A6"/>
    <w:rsid w:val="008101AB"/>
    <w:rsid w:val="008108D6"/>
    <w:rsid w:val="00810DB0"/>
    <w:rsid w:val="00811A3F"/>
    <w:rsid w:val="0081227A"/>
    <w:rsid w:val="00813B51"/>
    <w:rsid w:val="008141B8"/>
    <w:rsid w:val="00817C79"/>
    <w:rsid w:val="008200D0"/>
    <w:rsid w:val="00820129"/>
    <w:rsid w:val="008239BF"/>
    <w:rsid w:val="00823BFC"/>
    <w:rsid w:val="0083044B"/>
    <w:rsid w:val="00831CC1"/>
    <w:rsid w:val="008338F4"/>
    <w:rsid w:val="008411DD"/>
    <w:rsid w:val="00841DB9"/>
    <w:rsid w:val="00842F8E"/>
    <w:rsid w:val="00843AB4"/>
    <w:rsid w:val="0084594E"/>
    <w:rsid w:val="00846A11"/>
    <w:rsid w:val="00853F15"/>
    <w:rsid w:val="00860E09"/>
    <w:rsid w:val="00861E63"/>
    <w:rsid w:val="0086755A"/>
    <w:rsid w:val="0087203F"/>
    <w:rsid w:val="00874814"/>
    <w:rsid w:val="00881755"/>
    <w:rsid w:val="0088317E"/>
    <w:rsid w:val="00884213"/>
    <w:rsid w:val="008858A5"/>
    <w:rsid w:val="0089345E"/>
    <w:rsid w:val="0089382D"/>
    <w:rsid w:val="0089793A"/>
    <w:rsid w:val="008A2AD7"/>
    <w:rsid w:val="008A2C85"/>
    <w:rsid w:val="008A3A30"/>
    <w:rsid w:val="008A3F10"/>
    <w:rsid w:val="008A68AC"/>
    <w:rsid w:val="008A6A0E"/>
    <w:rsid w:val="008A7904"/>
    <w:rsid w:val="008B6FF3"/>
    <w:rsid w:val="008C2F6E"/>
    <w:rsid w:val="008C456A"/>
    <w:rsid w:val="008C4A10"/>
    <w:rsid w:val="008D010F"/>
    <w:rsid w:val="008D2678"/>
    <w:rsid w:val="008D2BB3"/>
    <w:rsid w:val="008D607A"/>
    <w:rsid w:val="008E15A7"/>
    <w:rsid w:val="008E1C08"/>
    <w:rsid w:val="008E27AA"/>
    <w:rsid w:val="008E44C0"/>
    <w:rsid w:val="008E7391"/>
    <w:rsid w:val="008F023A"/>
    <w:rsid w:val="008F2BC0"/>
    <w:rsid w:val="008F4651"/>
    <w:rsid w:val="00903FEC"/>
    <w:rsid w:val="00906528"/>
    <w:rsid w:val="009076C0"/>
    <w:rsid w:val="0091551B"/>
    <w:rsid w:val="009210EB"/>
    <w:rsid w:val="009273DC"/>
    <w:rsid w:val="009278EE"/>
    <w:rsid w:val="00933933"/>
    <w:rsid w:val="00941675"/>
    <w:rsid w:val="009445E5"/>
    <w:rsid w:val="00947A2F"/>
    <w:rsid w:val="009516C8"/>
    <w:rsid w:val="00953C9D"/>
    <w:rsid w:val="009557A3"/>
    <w:rsid w:val="009558CE"/>
    <w:rsid w:val="00961092"/>
    <w:rsid w:val="00963D4C"/>
    <w:rsid w:val="00964734"/>
    <w:rsid w:val="00970B4B"/>
    <w:rsid w:val="00973216"/>
    <w:rsid w:val="009734AF"/>
    <w:rsid w:val="00974CE1"/>
    <w:rsid w:val="009951FE"/>
    <w:rsid w:val="00996F98"/>
    <w:rsid w:val="00997D77"/>
    <w:rsid w:val="009A4217"/>
    <w:rsid w:val="009B53B3"/>
    <w:rsid w:val="009B60BD"/>
    <w:rsid w:val="009C477B"/>
    <w:rsid w:val="009C68BA"/>
    <w:rsid w:val="009D7A19"/>
    <w:rsid w:val="009E06DE"/>
    <w:rsid w:val="009E0BE5"/>
    <w:rsid w:val="009E1649"/>
    <w:rsid w:val="009E4FB5"/>
    <w:rsid w:val="009E64E9"/>
    <w:rsid w:val="009E66BA"/>
    <w:rsid w:val="009E684D"/>
    <w:rsid w:val="009E6C8F"/>
    <w:rsid w:val="009F196B"/>
    <w:rsid w:val="009F2FB0"/>
    <w:rsid w:val="009F6A4F"/>
    <w:rsid w:val="00A00D0C"/>
    <w:rsid w:val="00A0508B"/>
    <w:rsid w:val="00A15A58"/>
    <w:rsid w:val="00A17FAE"/>
    <w:rsid w:val="00A235D2"/>
    <w:rsid w:val="00A23AB3"/>
    <w:rsid w:val="00A27AB7"/>
    <w:rsid w:val="00A30560"/>
    <w:rsid w:val="00A308B1"/>
    <w:rsid w:val="00A33242"/>
    <w:rsid w:val="00A34FF1"/>
    <w:rsid w:val="00A369EE"/>
    <w:rsid w:val="00A36E96"/>
    <w:rsid w:val="00A37272"/>
    <w:rsid w:val="00A425FA"/>
    <w:rsid w:val="00A42CF3"/>
    <w:rsid w:val="00A475CE"/>
    <w:rsid w:val="00A47C9F"/>
    <w:rsid w:val="00A47E8F"/>
    <w:rsid w:val="00A54E09"/>
    <w:rsid w:val="00A54E61"/>
    <w:rsid w:val="00A5515E"/>
    <w:rsid w:val="00A552FC"/>
    <w:rsid w:val="00A6293F"/>
    <w:rsid w:val="00A661E6"/>
    <w:rsid w:val="00A67F07"/>
    <w:rsid w:val="00A715B5"/>
    <w:rsid w:val="00A7301E"/>
    <w:rsid w:val="00A73E2D"/>
    <w:rsid w:val="00A7607E"/>
    <w:rsid w:val="00A7682A"/>
    <w:rsid w:val="00A86743"/>
    <w:rsid w:val="00A97ACB"/>
    <w:rsid w:val="00AA0358"/>
    <w:rsid w:val="00AA2DD9"/>
    <w:rsid w:val="00AB049C"/>
    <w:rsid w:val="00AB075A"/>
    <w:rsid w:val="00AB42CC"/>
    <w:rsid w:val="00AB4757"/>
    <w:rsid w:val="00AB60D3"/>
    <w:rsid w:val="00AC0FE4"/>
    <w:rsid w:val="00AC2709"/>
    <w:rsid w:val="00AD06A2"/>
    <w:rsid w:val="00AD0FC1"/>
    <w:rsid w:val="00AD185D"/>
    <w:rsid w:val="00AD4B1B"/>
    <w:rsid w:val="00AE0190"/>
    <w:rsid w:val="00AE0E32"/>
    <w:rsid w:val="00AE3598"/>
    <w:rsid w:val="00AF0372"/>
    <w:rsid w:val="00AF095E"/>
    <w:rsid w:val="00AF158E"/>
    <w:rsid w:val="00AF1D6D"/>
    <w:rsid w:val="00AF256C"/>
    <w:rsid w:val="00AF30AF"/>
    <w:rsid w:val="00B00AFC"/>
    <w:rsid w:val="00B00E7A"/>
    <w:rsid w:val="00B04BAF"/>
    <w:rsid w:val="00B053EB"/>
    <w:rsid w:val="00B066E7"/>
    <w:rsid w:val="00B0694A"/>
    <w:rsid w:val="00B11E18"/>
    <w:rsid w:val="00B133C3"/>
    <w:rsid w:val="00B17618"/>
    <w:rsid w:val="00B21527"/>
    <w:rsid w:val="00B2292D"/>
    <w:rsid w:val="00B26612"/>
    <w:rsid w:val="00B35669"/>
    <w:rsid w:val="00B44845"/>
    <w:rsid w:val="00B4620B"/>
    <w:rsid w:val="00B50F40"/>
    <w:rsid w:val="00B51A46"/>
    <w:rsid w:val="00B54754"/>
    <w:rsid w:val="00B57752"/>
    <w:rsid w:val="00B629FF"/>
    <w:rsid w:val="00B63534"/>
    <w:rsid w:val="00B65F9D"/>
    <w:rsid w:val="00B72160"/>
    <w:rsid w:val="00B72E65"/>
    <w:rsid w:val="00B84B39"/>
    <w:rsid w:val="00B915BC"/>
    <w:rsid w:val="00B929E2"/>
    <w:rsid w:val="00B939E3"/>
    <w:rsid w:val="00B965F0"/>
    <w:rsid w:val="00B96A4C"/>
    <w:rsid w:val="00B96E86"/>
    <w:rsid w:val="00BA6CF8"/>
    <w:rsid w:val="00BB1AFB"/>
    <w:rsid w:val="00BB3CA9"/>
    <w:rsid w:val="00BB7C3C"/>
    <w:rsid w:val="00BC2044"/>
    <w:rsid w:val="00BC6DEE"/>
    <w:rsid w:val="00BD2E5A"/>
    <w:rsid w:val="00BD5736"/>
    <w:rsid w:val="00BF75FF"/>
    <w:rsid w:val="00C01780"/>
    <w:rsid w:val="00C0389A"/>
    <w:rsid w:val="00C04EE2"/>
    <w:rsid w:val="00C10214"/>
    <w:rsid w:val="00C10ADB"/>
    <w:rsid w:val="00C13C1F"/>
    <w:rsid w:val="00C2012E"/>
    <w:rsid w:val="00C20C85"/>
    <w:rsid w:val="00C20C91"/>
    <w:rsid w:val="00C21BBD"/>
    <w:rsid w:val="00C21EF1"/>
    <w:rsid w:val="00C257A4"/>
    <w:rsid w:val="00C26A4F"/>
    <w:rsid w:val="00C26BF7"/>
    <w:rsid w:val="00C2713C"/>
    <w:rsid w:val="00C27F73"/>
    <w:rsid w:val="00C3055C"/>
    <w:rsid w:val="00C31E70"/>
    <w:rsid w:val="00C3285A"/>
    <w:rsid w:val="00C337A0"/>
    <w:rsid w:val="00C33EDC"/>
    <w:rsid w:val="00C40388"/>
    <w:rsid w:val="00C41471"/>
    <w:rsid w:val="00C4580A"/>
    <w:rsid w:val="00C475BA"/>
    <w:rsid w:val="00C477D8"/>
    <w:rsid w:val="00C478D4"/>
    <w:rsid w:val="00C5232B"/>
    <w:rsid w:val="00C6207E"/>
    <w:rsid w:val="00C63281"/>
    <w:rsid w:val="00C64CD1"/>
    <w:rsid w:val="00C67A09"/>
    <w:rsid w:val="00C727C6"/>
    <w:rsid w:val="00C729B9"/>
    <w:rsid w:val="00C741BD"/>
    <w:rsid w:val="00C74E6A"/>
    <w:rsid w:val="00C77BD9"/>
    <w:rsid w:val="00C77FAF"/>
    <w:rsid w:val="00C81997"/>
    <w:rsid w:val="00C833A4"/>
    <w:rsid w:val="00C84833"/>
    <w:rsid w:val="00C85941"/>
    <w:rsid w:val="00C87C3B"/>
    <w:rsid w:val="00C93FEF"/>
    <w:rsid w:val="00C9412E"/>
    <w:rsid w:val="00C942A6"/>
    <w:rsid w:val="00C95C84"/>
    <w:rsid w:val="00C95D96"/>
    <w:rsid w:val="00C97860"/>
    <w:rsid w:val="00CA0E66"/>
    <w:rsid w:val="00CA5DB2"/>
    <w:rsid w:val="00CA6677"/>
    <w:rsid w:val="00CA7063"/>
    <w:rsid w:val="00CB1DBC"/>
    <w:rsid w:val="00CB2973"/>
    <w:rsid w:val="00CB2AFC"/>
    <w:rsid w:val="00CB53E2"/>
    <w:rsid w:val="00CC077F"/>
    <w:rsid w:val="00CC251C"/>
    <w:rsid w:val="00CC3261"/>
    <w:rsid w:val="00CC39B5"/>
    <w:rsid w:val="00CC51E9"/>
    <w:rsid w:val="00CC6D86"/>
    <w:rsid w:val="00CD5ED7"/>
    <w:rsid w:val="00CD795F"/>
    <w:rsid w:val="00CE2044"/>
    <w:rsid w:val="00CE28F8"/>
    <w:rsid w:val="00CE3451"/>
    <w:rsid w:val="00CE5173"/>
    <w:rsid w:val="00CE60AB"/>
    <w:rsid w:val="00CF0C2F"/>
    <w:rsid w:val="00CF539E"/>
    <w:rsid w:val="00CF63D9"/>
    <w:rsid w:val="00D038E3"/>
    <w:rsid w:val="00D169C7"/>
    <w:rsid w:val="00D21D5D"/>
    <w:rsid w:val="00D2523C"/>
    <w:rsid w:val="00D3416F"/>
    <w:rsid w:val="00D35645"/>
    <w:rsid w:val="00D35E36"/>
    <w:rsid w:val="00D3608A"/>
    <w:rsid w:val="00D41A2E"/>
    <w:rsid w:val="00D45FA9"/>
    <w:rsid w:val="00D47FE1"/>
    <w:rsid w:val="00D5068E"/>
    <w:rsid w:val="00D55AFF"/>
    <w:rsid w:val="00D574A3"/>
    <w:rsid w:val="00D62E51"/>
    <w:rsid w:val="00D64A11"/>
    <w:rsid w:val="00D66005"/>
    <w:rsid w:val="00D668A0"/>
    <w:rsid w:val="00D6701B"/>
    <w:rsid w:val="00D7293C"/>
    <w:rsid w:val="00D72F76"/>
    <w:rsid w:val="00D730DB"/>
    <w:rsid w:val="00D757F1"/>
    <w:rsid w:val="00D7655D"/>
    <w:rsid w:val="00D76915"/>
    <w:rsid w:val="00D771D8"/>
    <w:rsid w:val="00D77526"/>
    <w:rsid w:val="00D80E28"/>
    <w:rsid w:val="00D85D18"/>
    <w:rsid w:val="00D91028"/>
    <w:rsid w:val="00D91D0F"/>
    <w:rsid w:val="00D91D69"/>
    <w:rsid w:val="00D96202"/>
    <w:rsid w:val="00D9703C"/>
    <w:rsid w:val="00DA0F39"/>
    <w:rsid w:val="00DA2269"/>
    <w:rsid w:val="00DA342A"/>
    <w:rsid w:val="00DB355F"/>
    <w:rsid w:val="00DB5417"/>
    <w:rsid w:val="00DB6E81"/>
    <w:rsid w:val="00DB6F8C"/>
    <w:rsid w:val="00DC0B79"/>
    <w:rsid w:val="00DC1EB0"/>
    <w:rsid w:val="00DC3290"/>
    <w:rsid w:val="00DD07FC"/>
    <w:rsid w:val="00DD1FD0"/>
    <w:rsid w:val="00DD2143"/>
    <w:rsid w:val="00DD2ECF"/>
    <w:rsid w:val="00DE4546"/>
    <w:rsid w:val="00DE4CDE"/>
    <w:rsid w:val="00DE5AC4"/>
    <w:rsid w:val="00DE7A40"/>
    <w:rsid w:val="00DF12C8"/>
    <w:rsid w:val="00DF2D7F"/>
    <w:rsid w:val="00DF5BF7"/>
    <w:rsid w:val="00DF7671"/>
    <w:rsid w:val="00E016A5"/>
    <w:rsid w:val="00E02DF1"/>
    <w:rsid w:val="00E02F6C"/>
    <w:rsid w:val="00E04ED0"/>
    <w:rsid w:val="00E122EA"/>
    <w:rsid w:val="00E12908"/>
    <w:rsid w:val="00E1514C"/>
    <w:rsid w:val="00E15A5E"/>
    <w:rsid w:val="00E266C1"/>
    <w:rsid w:val="00E30F50"/>
    <w:rsid w:val="00E33CB0"/>
    <w:rsid w:val="00E356BB"/>
    <w:rsid w:val="00E41AB4"/>
    <w:rsid w:val="00E4316E"/>
    <w:rsid w:val="00E524DA"/>
    <w:rsid w:val="00E54BCF"/>
    <w:rsid w:val="00E54F22"/>
    <w:rsid w:val="00E561AD"/>
    <w:rsid w:val="00E562AA"/>
    <w:rsid w:val="00E621B4"/>
    <w:rsid w:val="00E6355D"/>
    <w:rsid w:val="00E6397A"/>
    <w:rsid w:val="00E700C6"/>
    <w:rsid w:val="00E72EC5"/>
    <w:rsid w:val="00E753B8"/>
    <w:rsid w:val="00E832D0"/>
    <w:rsid w:val="00E856A8"/>
    <w:rsid w:val="00E90B47"/>
    <w:rsid w:val="00E9352F"/>
    <w:rsid w:val="00E96AD1"/>
    <w:rsid w:val="00E96E7F"/>
    <w:rsid w:val="00E96FD6"/>
    <w:rsid w:val="00E97764"/>
    <w:rsid w:val="00EA175D"/>
    <w:rsid w:val="00EA62FA"/>
    <w:rsid w:val="00EA6480"/>
    <w:rsid w:val="00EC406F"/>
    <w:rsid w:val="00EC4527"/>
    <w:rsid w:val="00EC46B7"/>
    <w:rsid w:val="00EC4E57"/>
    <w:rsid w:val="00ED0150"/>
    <w:rsid w:val="00ED25AD"/>
    <w:rsid w:val="00ED5F4B"/>
    <w:rsid w:val="00EE2653"/>
    <w:rsid w:val="00EE31A7"/>
    <w:rsid w:val="00EE4267"/>
    <w:rsid w:val="00EE5714"/>
    <w:rsid w:val="00EE72FE"/>
    <w:rsid w:val="00EE7EE2"/>
    <w:rsid w:val="00EF24AC"/>
    <w:rsid w:val="00EF5B81"/>
    <w:rsid w:val="00F0118B"/>
    <w:rsid w:val="00F056BE"/>
    <w:rsid w:val="00F062F8"/>
    <w:rsid w:val="00F064A8"/>
    <w:rsid w:val="00F06D0E"/>
    <w:rsid w:val="00F1205F"/>
    <w:rsid w:val="00F1518D"/>
    <w:rsid w:val="00F16491"/>
    <w:rsid w:val="00F20DEB"/>
    <w:rsid w:val="00F23BAF"/>
    <w:rsid w:val="00F24FD3"/>
    <w:rsid w:val="00F30158"/>
    <w:rsid w:val="00F32B23"/>
    <w:rsid w:val="00F3396D"/>
    <w:rsid w:val="00F371F9"/>
    <w:rsid w:val="00F4206F"/>
    <w:rsid w:val="00F43197"/>
    <w:rsid w:val="00F45342"/>
    <w:rsid w:val="00F45627"/>
    <w:rsid w:val="00F46353"/>
    <w:rsid w:val="00F47A40"/>
    <w:rsid w:val="00F50CFB"/>
    <w:rsid w:val="00F651F6"/>
    <w:rsid w:val="00F657C0"/>
    <w:rsid w:val="00F65D6C"/>
    <w:rsid w:val="00F67DE2"/>
    <w:rsid w:val="00F74DB5"/>
    <w:rsid w:val="00F76001"/>
    <w:rsid w:val="00F77584"/>
    <w:rsid w:val="00F8272C"/>
    <w:rsid w:val="00F82DB9"/>
    <w:rsid w:val="00F833DF"/>
    <w:rsid w:val="00F8504A"/>
    <w:rsid w:val="00F854E7"/>
    <w:rsid w:val="00F857BE"/>
    <w:rsid w:val="00F85DB9"/>
    <w:rsid w:val="00F90E27"/>
    <w:rsid w:val="00F967C2"/>
    <w:rsid w:val="00F9722E"/>
    <w:rsid w:val="00FA23C8"/>
    <w:rsid w:val="00FA5B8E"/>
    <w:rsid w:val="00FA78D3"/>
    <w:rsid w:val="00FB6F01"/>
    <w:rsid w:val="00FC0D3F"/>
    <w:rsid w:val="00FC6445"/>
    <w:rsid w:val="00FD5FF0"/>
    <w:rsid w:val="00FE288A"/>
    <w:rsid w:val="00FE39EF"/>
    <w:rsid w:val="00FE64A3"/>
    <w:rsid w:val="00FF6F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DF54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67F07"/>
    <w:pPr>
      <w:spacing w:after="0" w:line="240" w:lineRule="auto"/>
    </w:pPr>
    <w:rPr>
      <w:rFonts w:ascii="Times New Roman" w:eastAsia="Calibri" w:hAnsi="Times New Roman" w:cs="Times New Roman"/>
      <w:noProof/>
      <w:sz w:val="24"/>
      <w:szCs w:val="24"/>
      <w:lang w:val="bg-BG" w:eastAsia="bg-BG"/>
    </w:rPr>
  </w:style>
  <w:style w:type="paragraph" w:styleId="1">
    <w:name w:val="heading 1"/>
    <w:basedOn w:val="a"/>
    <w:next w:val="a"/>
    <w:link w:val="10"/>
    <w:uiPriority w:val="9"/>
    <w:qFormat/>
    <w:rsid w:val="00C6328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E832D0"/>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626E59"/>
    <w:pPr>
      <w:tabs>
        <w:tab w:val="center" w:pos="4536"/>
        <w:tab w:val="right" w:pos="9072"/>
      </w:tabs>
    </w:pPr>
    <w:rPr>
      <w:rFonts w:asciiTheme="minorHAnsi" w:eastAsiaTheme="minorHAnsi" w:hAnsiTheme="minorHAnsi" w:cstheme="minorBidi"/>
      <w:noProof w:val="0"/>
      <w:sz w:val="22"/>
      <w:szCs w:val="22"/>
      <w:lang w:val="en-GB" w:eastAsia="en-US"/>
    </w:rPr>
  </w:style>
  <w:style w:type="character" w:customStyle="1" w:styleId="a4">
    <w:name w:val="Горен колонтитул Знак"/>
    <w:basedOn w:val="a0"/>
    <w:link w:val="a3"/>
    <w:uiPriority w:val="99"/>
    <w:rsid w:val="00626E59"/>
  </w:style>
  <w:style w:type="paragraph" w:styleId="a5">
    <w:name w:val="footer"/>
    <w:basedOn w:val="a"/>
    <w:link w:val="a6"/>
    <w:uiPriority w:val="99"/>
    <w:unhideWhenUsed/>
    <w:rsid w:val="00626E59"/>
    <w:pPr>
      <w:tabs>
        <w:tab w:val="center" w:pos="4536"/>
        <w:tab w:val="right" w:pos="9072"/>
      </w:tabs>
    </w:pPr>
    <w:rPr>
      <w:rFonts w:asciiTheme="minorHAnsi" w:eastAsiaTheme="minorHAnsi" w:hAnsiTheme="minorHAnsi" w:cstheme="minorBidi"/>
      <w:noProof w:val="0"/>
      <w:sz w:val="22"/>
      <w:szCs w:val="22"/>
      <w:lang w:val="en-GB" w:eastAsia="en-US"/>
    </w:rPr>
  </w:style>
  <w:style w:type="character" w:customStyle="1" w:styleId="a6">
    <w:name w:val="Долен колонтитул Знак"/>
    <w:basedOn w:val="a0"/>
    <w:link w:val="a5"/>
    <w:uiPriority w:val="99"/>
    <w:rsid w:val="00626E59"/>
  </w:style>
  <w:style w:type="character" w:customStyle="1" w:styleId="10">
    <w:name w:val="Заглавие 1 Знак"/>
    <w:basedOn w:val="a0"/>
    <w:link w:val="1"/>
    <w:uiPriority w:val="9"/>
    <w:rsid w:val="00C63281"/>
    <w:rPr>
      <w:rFonts w:asciiTheme="majorHAnsi" w:eastAsiaTheme="majorEastAsia" w:hAnsiTheme="majorHAnsi" w:cstheme="majorBidi"/>
      <w:b/>
      <w:bCs/>
      <w:noProof/>
      <w:color w:val="365F91" w:themeColor="accent1" w:themeShade="BF"/>
      <w:sz w:val="28"/>
      <w:szCs w:val="28"/>
      <w:lang w:val="bg-BG" w:eastAsia="bg-BG"/>
    </w:rPr>
  </w:style>
  <w:style w:type="paragraph" w:styleId="a7">
    <w:name w:val="TOC Heading"/>
    <w:basedOn w:val="1"/>
    <w:next w:val="a"/>
    <w:uiPriority w:val="39"/>
    <w:semiHidden/>
    <w:unhideWhenUsed/>
    <w:qFormat/>
    <w:rsid w:val="00C63281"/>
    <w:pPr>
      <w:spacing w:line="276" w:lineRule="auto"/>
      <w:outlineLvl w:val="9"/>
    </w:pPr>
    <w:rPr>
      <w:noProof w:val="0"/>
      <w:lang w:val="en-US" w:eastAsia="ja-JP"/>
    </w:rPr>
  </w:style>
  <w:style w:type="paragraph" w:styleId="a8">
    <w:name w:val="Balloon Text"/>
    <w:basedOn w:val="a"/>
    <w:link w:val="a9"/>
    <w:uiPriority w:val="99"/>
    <w:semiHidden/>
    <w:unhideWhenUsed/>
    <w:rsid w:val="00C63281"/>
    <w:rPr>
      <w:rFonts w:ascii="Tahoma" w:hAnsi="Tahoma" w:cs="Tahoma"/>
      <w:sz w:val="16"/>
      <w:szCs w:val="16"/>
    </w:rPr>
  </w:style>
  <w:style w:type="character" w:customStyle="1" w:styleId="a9">
    <w:name w:val="Изнесен текст Знак"/>
    <w:basedOn w:val="a0"/>
    <w:link w:val="a8"/>
    <w:uiPriority w:val="99"/>
    <w:semiHidden/>
    <w:rsid w:val="00C63281"/>
    <w:rPr>
      <w:rFonts w:ascii="Tahoma" w:eastAsia="Calibri" w:hAnsi="Tahoma" w:cs="Tahoma"/>
      <w:noProof/>
      <w:sz w:val="16"/>
      <w:szCs w:val="16"/>
      <w:lang w:val="bg-BG" w:eastAsia="bg-BG"/>
    </w:rPr>
  </w:style>
  <w:style w:type="table" w:styleId="aa">
    <w:name w:val="Table Grid"/>
    <w:basedOn w:val="a1"/>
    <w:uiPriority w:val="59"/>
    <w:rsid w:val="0055511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link w:val="ac"/>
    <w:uiPriority w:val="34"/>
    <w:qFormat/>
    <w:rsid w:val="00CD5ED7"/>
    <w:pPr>
      <w:ind w:left="720"/>
      <w:contextualSpacing/>
    </w:pPr>
  </w:style>
  <w:style w:type="paragraph" w:styleId="11">
    <w:name w:val="toc 1"/>
    <w:basedOn w:val="a"/>
    <w:next w:val="a"/>
    <w:autoRedefine/>
    <w:uiPriority w:val="39"/>
    <w:unhideWhenUsed/>
    <w:rsid w:val="007A2F7D"/>
    <w:pPr>
      <w:spacing w:after="100"/>
    </w:pPr>
  </w:style>
  <w:style w:type="character" w:styleId="ad">
    <w:name w:val="Hyperlink"/>
    <w:basedOn w:val="a0"/>
    <w:uiPriority w:val="99"/>
    <w:unhideWhenUsed/>
    <w:rsid w:val="007A2F7D"/>
    <w:rPr>
      <w:color w:val="0000FF" w:themeColor="hyperlink"/>
      <w:u w:val="single"/>
    </w:rPr>
  </w:style>
  <w:style w:type="paragraph" w:styleId="ae">
    <w:name w:val="Normal (Web)"/>
    <w:basedOn w:val="a"/>
    <w:uiPriority w:val="99"/>
    <w:semiHidden/>
    <w:unhideWhenUsed/>
    <w:rsid w:val="003A562F"/>
    <w:pPr>
      <w:spacing w:before="100" w:beforeAutospacing="1" w:after="100" w:afterAutospacing="1"/>
    </w:pPr>
    <w:rPr>
      <w:rFonts w:eastAsiaTheme="minorEastAsia"/>
      <w:noProof w:val="0"/>
      <w:lang w:val="en-GB" w:eastAsia="en-GB"/>
    </w:rPr>
  </w:style>
  <w:style w:type="character" w:customStyle="1" w:styleId="Footnote3">
    <w:name w:val="Footnote (3)"/>
    <w:basedOn w:val="a0"/>
    <w:rsid w:val="00FE39EF"/>
    <w:rPr>
      <w:rFonts w:ascii="Times New Roman" w:eastAsia="Times New Roman" w:hAnsi="Times New Roman" w:cs="Times New Roman"/>
      <w:b w:val="0"/>
      <w:bCs w:val="0"/>
      <w:i w:val="0"/>
      <w:iCs w:val="0"/>
      <w:smallCaps w:val="0"/>
      <w:strike/>
      <w:color w:val="000000"/>
      <w:spacing w:val="0"/>
      <w:w w:val="100"/>
      <w:position w:val="0"/>
      <w:sz w:val="22"/>
      <w:szCs w:val="22"/>
      <w:u w:val="none"/>
      <w:lang w:val="bg-BG" w:eastAsia="bg-BG" w:bidi="bg-BG"/>
    </w:rPr>
  </w:style>
  <w:style w:type="character" w:customStyle="1" w:styleId="Bodytext285pt">
    <w:name w:val="Body text (2) + 8.5 pt"/>
    <w:aliases w:val="Italic,Body text (2) + 8 pt"/>
    <w:basedOn w:val="a0"/>
    <w:rsid w:val="00CC3261"/>
    <w:rPr>
      <w:rFonts w:ascii="Times New Roman" w:eastAsia="Times New Roman" w:hAnsi="Times New Roman" w:cs="Times New Roman"/>
      <w:i/>
      <w:iCs/>
      <w:color w:val="000000"/>
      <w:spacing w:val="0"/>
      <w:w w:val="100"/>
      <w:position w:val="0"/>
      <w:sz w:val="17"/>
      <w:szCs w:val="17"/>
      <w:shd w:val="clear" w:color="auto" w:fill="FFFFFF"/>
      <w:lang w:val="bg-BG" w:eastAsia="bg-BG" w:bidi="bg-BG"/>
    </w:rPr>
  </w:style>
  <w:style w:type="character" w:customStyle="1" w:styleId="Bodytext26pt">
    <w:name w:val="Body text (2) + 6 pt"/>
    <w:basedOn w:val="a0"/>
    <w:rsid w:val="00F062F8"/>
    <w:rPr>
      <w:rFonts w:ascii="Times New Roman" w:eastAsia="Times New Roman" w:hAnsi="Times New Roman" w:cs="Times New Roman"/>
      <w:color w:val="000000"/>
      <w:spacing w:val="0"/>
      <w:w w:val="100"/>
      <w:position w:val="0"/>
      <w:sz w:val="12"/>
      <w:szCs w:val="12"/>
      <w:shd w:val="clear" w:color="auto" w:fill="FFFFFF"/>
      <w:lang w:val="bg-BG" w:eastAsia="bg-BG" w:bidi="bg-BG"/>
    </w:rPr>
  </w:style>
  <w:style w:type="character" w:customStyle="1" w:styleId="20">
    <w:name w:val="Заглавие 2 Знак"/>
    <w:basedOn w:val="a0"/>
    <w:link w:val="2"/>
    <w:uiPriority w:val="9"/>
    <w:rsid w:val="00E832D0"/>
    <w:rPr>
      <w:rFonts w:asciiTheme="majorHAnsi" w:eastAsiaTheme="majorEastAsia" w:hAnsiTheme="majorHAnsi" w:cstheme="majorBidi"/>
      <w:noProof/>
      <w:color w:val="365F91" w:themeColor="accent1" w:themeShade="BF"/>
      <w:sz w:val="26"/>
      <w:szCs w:val="26"/>
      <w:lang w:val="bg-BG" w:eastAsia="bg-BG"/>
    </w:rPr>
  </w:style>
  <w:style w:type="character" w:customStyle="1" w:styleId="ac">
    <w:name w:val="Списък на абзаци Знак"/>
    <w:link w:val="ab"/>
    <w:uiPriority w:val="34"/>
    <w:locked/>
    <w:rsid w:val="00903FEC"/>
    <w:rPr>
      <w:rFonts w:ascii="Times New Roman" w:eastAsia="Calibri" w:hAnsi="Times New Roman" w:cs="Times New Roman"/>
      <w:noProof/>
      <w:sz w:val="24"/>
      <w:szCs w:val="24"/>
      <w:lang w:val="bg-BG" w:eastAsia="bg-BG"/>
    </w:rPr>
  </w:style>
  <w:style w:type="paragraph" w:styleId="HTML">
    <w:name w:val="HTML Preformatted"/>
    <w:basedOn w:val="a"/>
    <w:link w:val="HTML0"/>
    <w:uiPriority w:val="99"/>
    <w:rsid w:val="00903F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noProof w:val="0"/>
      <w:sz w:val="20"/>
      <w:szCs w:val="20"/>
    </w:rPr>
  </w:style>
  <w:style w:type="character" w:customStyle="1" w:styleId="HTML0">
    <w:name w:val="HTML стандартен Знак"/>
    <w:basedOn w:val="a0"/>
    <w:link w:val="HTML"/>
    <w:uiPriority w:val="99"/>
    <w:rsid w:val="00903FEC"/>
    <w:rPr>
      <w:rFonts w:ascii="Courier New" w:eastAsia="Times New Roman" w:hAnsi="Courier New" w:cs="Courier New"/>
      <w:sz w:val="20"/>
      <w:szCs w:val="20"/>
      <w:lang w:val="bg-BG" w:eastAsia="bg-BG"/>
    </w:rPr>
  </w:style>
  <w:style w:type="character" w:styleId="af">
    <w:name w:val="FollowedHyperlink"/>
    <w:basedOn w:val="a0"/>
    <w:uiPriority w:val="99"/>
    <w:semiHidden/>
    <w:unhideWhenUsed/>
    <w:rsid w:val="005224F7"/>
    <w:rPr>
      <w:color w:val="800080" w:themeColor="followedHyperlink"/>
      <w:u w:val="single"/>
    </w:rPr>
  </w:style>
  <w:style w:type="character" w:customStyle="1" w:styleId="UnresolvedMention1">
    <w:name w:val="Unresolved Mention1"/>
    <w:basedOn w:val="a0"/>
    <w:uiPriority w:val="99"/>
    <w:semiHidden/>
    <w:unhideWhenUsed/>
    <w:rsid w:val="00E561AD"/>
    <w:rPr>
      <w:color w:val="605E5C"/>
      <w:shd w:val="clear" w:color="auto" w:fill="E1DFDD"/>
    </w:rPr>
  </w:style>
  <w:style w:type="character" w:customStyle="1" w:styleId="UnresolvedMention">
    <w:name w:val="Unresolved Mention"/>
    <w:basedOn w:val="a0"/>
    <w:uiPriority w:val="99"/>
    <w:semiHidden/>
    <w:unhideWhenUsed/>
    <w:rsid w:val="007D7A6E"/>
    <w:rPr>
      <w:color w:val="605E5C"/>
      <w:shd w:val="clear" w:color="auto" w:fill="E1DFDD"/>
    </w:rPr>
  </w:style>
  <w:style w:type="character" w:styleId="af0">
    <w:name w:val="annotation reference"/>
    <w:basedOn w:val="a0"/>
    <w:uiPriority w:val="99"/>
    <w:semiHidden/>
    <w:unhideWhenUsed/>
    <w:rsid w:val="00EE2653"/>
    <w:rPr>
      <w:sz w:val="16"/>
      <w:szCs w:val="16"/>
    </w:rPr>
  </w:style>
  <w:style w:type="paragraph" w:styleId="af1">
    <w:name w:val="annotation text"/>
    <w:basedOn w:val="a"/>
    <w:link w:val="af2"/>
    <w:uiPriority w:val="99"/>
    <w:semiHidden/>
    <w:unhideWhenUsed/>
    <w:rsid w:val="00EE2653"/>
    <w:rPr>
      <w:sz w:val="20"/>
      <w:szCs w:val="20"/>
    </w:rPr>
  </w:style>
  <w:style w:type="character" w:customStyle="1" w:styleId="af2">
    <w:name w:val="Текст на коментар Знак"/>
    <w:basedOn w:val="a0"/>
    <w:link w:val="af1"/>
    <w:uiPriority w:val="99"/>
    <w:semiHidden/>
    <w:rsid w:val="00EE2653"/>
    <w:rPr>
      <w:rFonts w:ascii="Times New Roman" w:eastAsia="Calibri" w:hAnsi="Times New Roman" w:cs="Times New Roman"/>
      <w:noProof/>
      <w:sz w:val="20"/>
      <w:szCs w:val="20"/>
      <w:lang w:val="bg-BG" w:eastAsia="bg-BG"/>
    </w:rPr>
  </w:style>
  <w:style w:type="paragraph" w:styleId="af3">
    <w:name w:val="annotation subject"/>
    <w:basedOn w:val="af1"/>
    <w:next w:val="af1"/>
    <w:link w:val="af4"/>
    <w:uiPriority w:val="99"/>
    <w:semiHidden/>
    <w:unhideWhenUsed/>
    <w:rsid w:val="00EE2653"/>
    <w:rPr>
      <w:b/>
      <w:bCs/>
    </w:rPr>
  </w:style>
  <w:style w:type="character" w:customStyle="1" w:styleId="af4">
    <w:name w:val="Предмет на коментар Знак"/>
    <w:basedOn w:val="af2"/>
    <w:link w:val="af3"/>
    <w:uiPriority w:val="99"/>
    <w:semiHidden/>
    <w:rsid w:val="00EE2653"/>
    <w:rPr>
      <w:rFonts w:ascii="Times New Roman" w:eastAsia="Calibri" w:hAnsi="Times New Roman" w:cs="Times New Roman"/>
      <w:b/>
      <w:bCs/>
      <w:noProof/>
      <w:sz w:val="20"/>
      <w:szCs w:val="20"/>
      <w:lang w:val="bg-BG" w:eastAsia="bg-BG"/>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67F07"/>
    <w:pPr>
      <w:spacing w:after="0" w:line="240" w:lineRule="auto"/>
    </w:pPr>
    <w:rPr>
      <w:rFonts w:ascii="Times New Roman" w:eastAsia="Calibri" w:hAnsi="Times New Roman" w:cs="Times New Roman"/>
      <w:noProof/>
      <w:sz w:val="24"/>
      <w:szCs w:val="24"/>
      <w:lang w:val="bg-BG" w:eastAsia="bg-BG"/>
    </w:rPr>
  </w:style>
  <w:style w:type="paragraph" w:styleId="1">
    <w:name w:val="heading 1"/>
    <w:basedOn w:val="a"/>
    <w:next w:val="a"/>
    <w:link w:val="10"/>
    <w:uiPriority w:val="9"/>
    <w:qFormat/>
    <w:rsid w:val="00C6328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E832D0"/>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626E59"/>
    <w:pPr>
      <w:tabs>
        <w:tab w:val="center" w:pos="4536"/>
        <w:tab w:val="right" w:pos="9072"/>
      </w:tabs>
    </w:pPr>
    <w:rPr>
      <w:rFonts w:asciiTheme="minorHAnsi" w:eastAsiaTheme="minorHAnsi" w:hAnsiTheme="minorHAnsi" w:cstheme="minorBidi"/>
      <w:noProof w:val="0"/>
      <w:sz w:val="22"/>
      <w:szCs w:val="22"/>
      <w:lang w:val="en-GB" w:eastAsia="en-US"/>
    </w:rPr>
  </w:style>
  <w:style w:type="character" w:customStyle="1" w:styleId="a4">
    <w:name w:val="Горен колонтитул Знак"/>
    <w:basedOn w:val="a0"/>
    <w:link w:val="a3"/>
    <w:uiPriority w:val="99"/>
    <w:rsid w:val="00626E59"/>
  </w:style>
  <w:style w:type="paragraph" w:styleId="a5">
    <w:name w:val="footer"/>
    <w:basedOn w:val="a"/>
    <w:link w:val="a6"/>
    <w:uiPriority w:val="99"/>
    <w:unhideWhenUsed/>
    <w:rsid w:val="00626E59"/>
    <w:pPr>
      <w:tabs>
        <w:tab w:val="center" w:pos="4536"/>
        <w:tab w:val="right" w:pos="9072"/>
      </w:tabs>
    </w:pPr>
    <w:rPr>
      <w:rFonts w:asciiTheme="minorHAnsi" w:eastAsiaTheme="minorHAnsi" w:hAnsiTheme="minorHAnsi" w:cstheme="minorBidi"/>
      <w:noProof w:val="0"/>
      <w:sz w:val="22"/>
      <w:szCs w:val="22"/>
      <w:lang w:val="en-GB" w:eastAsia="en-US"/>
    </w:rPr>
  </w:style>
  <w:style w:type="character" w:customStyle="1" w:styleId="a6">
    <w:name w:val="Долен колонтитул Знак"/>
    <w:basedOn w:val="a0"/>
    <w:link w:val="a5"/>
    <w:uiPriority w:val="99"/>
    <w:rsid w:val="00626E59"/>
  </w:style>
  <w:style w:type="character" w:customStyle="1" w:styleId="10">
    <w:name w:val="Заглавие 1 Знак"/>
    <w:basedOn w:val="a0"/>
    <w:link w:val="1"/>
    <w:uiPriority w:val="9"/>
    <w:rsid w:val="00C63281"/>
    <w:rPr>
      <w:rFonts w:asciiTheme="majorHAnsi" w:eastAsiaTheme="majorEastAsia" w:hAnsiTheme="majorHAnsi" w:cstheme="majorBidi"/>
      <w:b/>
      <w:bCs/>
      <w:noProof/>
      <w:color w:val="365F91" w:themeColor="accent1" w:themeShade="BF"/>
      <w:sz w:val="28"/>
      <w:szCs w:val="28"/>
      <w:lang w:val="bg-BG" w:eastAsia="bg-BG"/>
    </w:rPr>
  </w:style>
  <w:style w:type="paragraph" w:styleId="a7">
    <w:name w:val="TOC Heading"/>
    <w:basedOn w:val="1"/>
    <w:next w:val="a"/>
    <w:uiPriority w:val="39"/>
    <w:semiHidden/>
    <w:unhideWhenUsed/>
    <w:qFormat/>
    <w:rsid w:val="00C63281"/>
    <w:pPr>
      <w:spacing w:line="276" w:lineRule="auto"/>
      <w:outlineLvl w:val="9"/>
    </w:pPr>
    <w:rPr>
      <w:noProof w:val="0"/>
      <w:lang w:val="en-US" w:eastAsia="ja-JP"/>
    </w:rPr>
  </w:style>
  <w:style w:type="paragraph" w:styleId="a8">
    <w:name w:val="Balloon Text"/>
    <w:basedOn w:val="a"/>
    <w:link w:val="a9"/>
    <w:uiPriority w:val="99"/>
    <w:semiHidden/>
    <w:unhideWhenUsed/>
    <w:rsid w:val="00C63281"/>
    <w:rPr>
      <w:rFonts w:ascii="Tahoma" w:hAnsi="Tahoma" w:cs="Tahoma"/>
      <w:sz w:val="16"/>
      <w:szCs w:val="16"/>
    </w:rPr>
  </w:style>
  <w:style w:type="character" w:customStyle="1" w:styleId="a9">
    <w:name w:val="Изнесен текст Знак"/>
    <w:basedOn w:val="a0"/>
    <w:link w:val="a8"/>
    <w:uiPriority w:val="99"/>
    <w:semiHidden/>
    <w:rsid w:val="00C63281"/>
    <w:rPr>
      <w:rFonts w:ascii="Tahoma" w:eastAsia="Calibri" w:hAnsi="Tahoma" w:cs="Tahoma"/>
      <w:noProof/>
      <w:sz w:val="16"/>
      <w:szCs w:val="16"/>
      <w:lang w:val="bg-BG" w:eastAsia="bg-BG"/>
    </w:rPr>
  </w:style>
  <w:style w:type="table" w:styleId="aa">
    <w:name w:val="Table Grid"/>
    <w:basedOn w:val="a1"/>
    <w:uiPriority w:val="59"/>
    <w:rsid w:val="0055511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link w:val="ac"/>
    <w:uiPriority w:val="34"/>
    <w:qFormat/>
    <w:rsid w:val="00CD5ED7"/>
    <w:pPr>
      <w:ind w:left="720"/>
      <w:contextualSpacing/>
    </w:pPr>
  </w:style>
  <w:style w:type="paragraph" w:styleId="11">
    <w:name w:val="toc 1"/>
    <w:basedOn w:val="a"/>
    <w:next w:val="a"/>
    <w:autoRedefine/>
    <w:uiPriority w:val="39"/>
    <w:unhideWhenUsed/>
    <w:rsid w:val="007A2F7D"/>
    <w:pPr>
      <w:spacing w:after="100"/>
    </w:pPr>
  </w:style>
  <w:style w:type="character" w:styleId="ad">
    <w:name w:val="Hyperlink"/>
    <w:basedOn w:val="a0"/>
    <w:uiPriority w:val="99"/>
    <w:unhideWhenUsed/>
    <w:rsid w:val="007A2F7D"/>
    <w:rPr>
      <w:color w:val="0000FF" w:themeColor="hyperlink"/>
      <w:u w:val="single"/>
    </w:rPr>
  </w:style>
  <w:style w:type="paragraph" w:styleId="ae">
    <w:name w:val="Normal (Web)"/>
    <w:basedOn w:val="a"/>
    <w:uiPriority w:val="99"/>
    <w:semiHidden/>
    <w:unhideWhenUsed/>
    <w:rsid w:val="003A562F"/>
    <w:pPr>
      <w:spacing w:before="100" w:beforeAutospacing="1" w:after="100" w:afterAutospacing="1"/>
    </w:pPr>
    <w:rPr>
      <w:rFonts w:eastAsiaTheme="minorEastAsia"/>
      <w:noProof w:val="0"/>
      <w:lang w:val="en-GB" w:eastAsia="en-GB"/>
    </w:rPr>
  </w:style>
  <w:style w:type="character" w:customStyle="1" w:styleId="Footnote3">
    <w:name w:val="Footnote (3)"/>
    <w:basedOn w:val="a0"/>
    <w:rsid w:val="00FE39EF"/>
    <w:rPr>
      <w:rFonts w:ascii="Times New Roman" w:eastAsia="Times New Roman" w:hAnsi="Times New Roman" w:cs="Times New Roman"/>
      <w:b w:val="0"/>
      <w:bCs w:val="0"/>
      <w:i w:val="0"/>
      <w:iCs w:val="0"/>
      <w:smallCaps w:val="0"/>
      <w:strike/>
      <w:color w:val="000000"/>
      <w:spacing w:val="0"/>
      <w:w w:val="100"/>
      <w:position w:val="0"/>
      <w:sz w:val="22"/>
      <w:szCs w:val="22"/>
      <w:u w:val="none"/>
      <w:lang w:val="bg-BG" w:eastAsia="bg-BG" w:bidi="bg-BG"/>
    </w:rPr>
  </w:style>
  <w:style w:type="character" w:customStyle="1" w:styleId="Bodytext285pt">
    <w:name w:val="Body text (2) + 8.5 pt"/>
    <w:aliases w:val="Italic,Body text (2) + 8 pt"/>
    <w:basedOn w:val="a0"/>
    <w:rsid w:val="00CC3261"/>
    <w:rPr>
      <w:rFonts w:ascii="Times New Roman" w:eastAsia="Times New Roman" w:hAnsi="Times New Roman" w:cs="Times New Roman"/>
      <w:i/>
      <w:iCs/>
      <w:color w:val="000000"/>
      <w:spacing w:val="0"/>
      <w:w w:val="100"/>
      <w:position w:val="0"/>
      <w:sz w:val="17"/>
      <w:szCs w:val="17"/>
      <w:shd w:val="clear" w:color="auto" w:fill="FFFFFF"/>
      <w:lang w:val="bg-BG" w:eastAsia="bg-BG" w:bidi="bg-BG"/>
    </w:rPr>
  </w:style>
  <w:style w:type="character" w:customStyle="1" w:styleId="Bodytext26pt">
    <w:name w:val="Body text (2) + 6 pt"/>
    <w:basedOn w:val="a0"/>
    <w:rsid w:val="00F062F8"/>
    <w:rPr>
      <w:rFonts w:ascii="Times New Roman" w:eastAsia="Times New Roman" w:hAnsi="Times New Roman" w:cs="Times New Roman"/>
      <w:color w:val="000000"/>
      <w:spacing w:val="0"/>
      <w:w w:val="100"/>
      <w:position w:val="0"/>
      <w:sz w:val="12"/>
      <w:szCs w:val="12"/>
      <w:shd w:val="clear" w:color="auto" w:fill="FFFFFF"/>
      <w:lang w:val="bg-BG" w:eastAsia="bg-BG" w:bidi="bg-BG"/>
    </w:rPr>
  </w:style>
  <w:style w:type="character" w:customStyle="1" w:styleId="20">
    <w:name w:val="Заглавие 2 Знак"/>
    <w:basedOn w:val="a0"/>
    <w:link w:val="2"/>
    <w:uiPriority w:val="9"/>
    <w:rsid w:val="00E832D0"/>
    <w:rPr>
      <w:rFonts w:asciiTheme="majorHAnsi" w:eastAsiaTheme="majorEastAsia" w:hAnsiTheme="majorHAnsi" w:cstheme="majorBidi"/>
      <w:noProof/>
      <w:color w:val="365F91" w:themeColor="accent1" w:themeShade="BF"/>
      <w:sz w:val="26"/>
      <w:szCs w:val="26"/>
      <w:lang w:val="bg-BG" w:eastAsia="bg-BG"/>
    </w:rPr>
  </w:style>
  <w:style w:type="character" w:customStyle="1" w:styleId="ac">
    <w:name w:val="Списък на абзаци Знак"/>
    <w:link w:val="ab"/>
    <w:uiPriority w:val="34"/>
    <w:locked/>
    <w:rsid w:val="00903FEC"/>
    <w:rPr>
      <w:rFonts w:ascii="Times New Roman" w:eastAsia="Calibri" w:hAnsi="Times New Roman" w:cs="Times New Roman"/>
      <w:noProof/>
      <w:sz w:val="24"/>
      <w:szCs w:val="24"/>
      <w:lang w:val="bg-BG" w:eastAsia="bg-BG"/>
    </w:rPr>
  </w:style>
  <w:style w:type="paragraph" w:styleId="HTML">
    <w:name w:val="HTML Preformatted"/>
    <w:basedOn w:val="a"/>
    <w:link w:val="HTML0"/>
    <w:uiPriority w:val="99"/>
    <w:rsid w:val="00903F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noProof w:val="0"/>
      <w:sz w:val="20"/>
      <w:szCs w:val="20"/>
    </w:rPr>
  </w:style>
  <w:style w:type="character" w:customStyle="1" w:styleId="HTML0">
    <w:name w:val="HTML стандартен Знак"/>
    <w:basedOn w:val="a0"/>
    <w:link w:val="HTML"/>
    <w:uiPriority w:val="99"/>
    <w:rsid w:val="00903FEC"/>
    <w:rPr>
      <w:rFonts w:ascii="Courier New" w:eastAsia="Times New Roman" w:hAnsi="Courier New" w:cs="Courier New"/>
      <w:sz w:val="20"/>
      <w:szCs w:val="20"/>
      <w:lang w:val="bg-BG" w:eastAsia="bg-BG"/>
    </w:rPr>
  </w:style>
  <w:style w:type="character" w:styleId="af">
    <w:name w:val="FollowedHyperlink"/>
    <w:basedOn w:val="a0"/>
    <w:uiPriority w:val="99"/>
    <w:semiHidden/>
    <w:unhideWhenUsed/>
    <w:rsid w:val="005224F7"/>
    <w:rPr>
      <w:color w:val="800080" w:themeColor="followedHyperlink"/>
      <w:u w:val="single"/>
    </w:rPr>
  </w:style>
  <w:style w:type="character" w:customStyle="1" w:styleId="UnresolvedMention1">
    <w:name w:val="Unresolved Mention1"/>
    <w:basedOn w:val="a0"/>
    <w:uiPriority w:val="99"/>
    <w:semiHidden/>
    <w:unhideWhenUsed/>
    <w:rsid w:val="00E561AD"/>
    <w:rPr>
      <w:color w:val="605E5C"/>
      <w:shd w:val="clear" w:color="auto" w:fill="E1DFDD"/>
    </w:rPr>
  </w:style>
  <w:style w:type="character" w:customStyle="1" w:styleId="UnresolvedMention">
    <w:name w:val="Unresolved Mention"/>
    <w:basedOn w:val="a0"/>
    <w:uiPriority w:val="99"/>
    <w:semiHidden/>
    <w:unhideWhenUsed/>
    <w:rsid w:val="007D7A6E"/>
    <w:rPr>
      <w:color w:val="605E5C"/>
      <w:shd w:val="clear" w:color="auto" w:fill="E1DFDD"/>
    </w:rPr>
  </w:style>
  <w:style w:type="character" w:styleId="af0">
    <w:name w:val="annotation reference"/>
    <w:basedOn w:val="a0"/>
    <w:uiPriority w:val="99"/>
    <w:semiHidden/>
    <w:unhideWhenUsed/>
    <w:rsid w:val="00EE2653"/>
    <w:rPr>
      <w:sz w:val="16"/>
      <w:szCs w:val="16"/>
    </w:rPr>
  </w:style>
  <w:style w:type="paragraph" w:styleId="af1">
    <w:name w:val="annotation text"/>
    <w:basedOn w:val="a"/>
    <w:link w:val="af2"/>
    <w:uiPriority w:val="99"/>
    <w:semiHidden/>
    <w:unhideWhenUsed/>
    <w:rsid w:val="00EE2653"/>
    <w:rPr>
      <w:sz w:val="20"/>
      <w:szCs w:val="20"/>
    </w:rPr>
  </w:style>
  <w:style w:type="character" w:customStyle="1" w:styleId="af2">
    <w:name w:val="Текст на коментар Знак"/>
    <w:basedOn w:val="a0"/>
    <w:link w:val="af1"/>
    <w:uiPriority w:val="99"/>
    <w:semiHidden/>
    <w:rsid w:val="00EE2653"/>
    <w:rPr>
      <w:rFonts w:ascii="Times New Roman" w:eastAsia="Calibri" w:hAnsi="Times New Roman" w:cs="Times New Roman"/>
      <w:noProof/>
      <w:sz w:val="20"/>
      <w:szCs w:val="20"/>
      <w:lang w:val="bg-BG" w:eastAsia="bg-BG"/>
    </w:rPr>
  </w:style>
  <w:style w:type="paragraph" w:styleId="af3">
    <w:name w:val="annotation subject"/>
    <w:basedOn w:val="af1"/>
    <w:next w:val="af1"/>
    <w:link w:val="af4"/>
    <w:uiPriority w:val="99"/>
    <w:semiHidden/>
    <w:unhideWhenUsed/>
    <w:rsid w:val="00EE2653"/>
    <w:rPr>
      <w:b/>
      <w:bCs/>
    </w:rPr>
  </w:style>
  <w:style w:type="character" w:customStyle="1" w:styleId="af4">
    <w:name w:val="Предмет на коментар Знак"/>
    <w:basedOn w:val="af2"/>
    <w:link w:val="af3"/>
    <w:uiPriority w:val="99"/>
    <w:semiHidden/>
    <w:rsid w:val="00EE2653"/>
    <w:rPr>
      <w:rFonts w:ascii="Times New Roman" w:eastAsia="Calibri" w:hAnsi="Times New Roman" w:cs="Times New Roman"/>
      <w:b/>
      <w:bCs/>
      <w:noProof/>
      <w:sz w:val="20"/>
      <w:szCs w:val="20"/>
      <w:lang w:val="bg-BG" w:eastAsia="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75942">
      <w:bodyDiv w:val="1"/>
      <w:marLeft w:val="0"/>
      <w:marRight w:val="0"/>
      <w:marTop w:val="0"/>
      <w:marBottom w:val="0"/>
      <w:divBdr>
        <w:top w:val="none" w:sz="0" w:space="0" w:color="auto"/>
        <w:left w:val="none" w:sz="0" w:space="0" w:color="auto"/>
        <w:bottom w:val="none" w:sz="0" w:space="0" w:color="auto"/>
        <w:right w:val="none" w:sz="0" w:space="0" w:color="auto"/>
      </w:divBdr>
    </w:div>
    <w:div w:id="81799116">
      <w:bodyDiv w:val="1"/>
      <w:marLeft w:val="0"/>
      <w:marRight w:val="0"/>
      <w:marTop w:val="0"/>
      <w:marBottom w:val="0"/>
      <w:divBdr>
        <w:top w:val="none" w:sz="0" w:space="0" w:color="auto"/>
        <w:left w:val="none" w:sz="0" w:space="0" w:color="auto"/>
        <w:bottom w:val="none" w:sz="0" w:space="0" w:color="auto"/>
        <w:right w:val="none" w:sz="0" w:space="0" w:color="auto"/>
      </w:divBdr>
    </w:div>
    <w:div w:id="1116024616">
      <w:bodyDiv w:val="1"/>
      <w:marLeft w:val="0"/>
      <w:marRight w:val="0"/>
      <w:marTop w:val="0"/>
      <w:marBottom w:val="0"/>
      <w:divBdr>
        <w:top w:val="none" w:sz="0" w:space="0" w:color="auto"/>
        <w:left w:val="none" w:sz="0" w:space="0" w:color="auto"/>
        <w:bottom w:val="none" w:sz="0" w:space="0" w:color="auto"/>
        <w:right w:val="none" w:sz="0" w:space="0" w:color="auto"/>
      </w:divBdr>
    </w:div>
    <w:div w:id="1841967562">
      <w:bodyDiv w:val="1"/>
      <w:marLeft w:val="0"/>
      <w:marRight w:val="0"/>
      <w:marTop w:val="0"/>
      <w:marBottom w:val="0"/>
      <w:divBdr>
        <w:top w:val="none" w:sz="0" w:space="0" w:color="auto"/>
        <w:left w:val="none" w:sz="0" w:space="0" w:color="auto"/>
        <w:bottom w:val="none" w:sz="0" w:space="0" w:color="auto"/>
        <w:right w:val="none" w:sz="0" w:space="0" w:color="auto"/>
      </w:divBdr>
    </w:div>
    <w:div w:id="1918394483">
      <w:bodyDiv w:val="1"/>
      <w:marLeft w:val="0"/>
      <w:marRight w:val="0"/>
      <w:marTop w:val="0"/>
      <w:marBottom w:val="0"/>
      <w:divBdr>
        <w:top w:val="none" w:sz="0" w:space="0" w:color="auto"/>
        <w:left w:val="none" w:sz="0" w:space="0" w:color="auto"/>
        <w:bottom w:val="none" w:sz="0" w:space="0" w:color="auto"/>
        <w:right w:val="none" w:sz="0" w:space="0" w:color="auto"/>
      </w:divBdr>
    </w:div>
    <w:div w:id="20875326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4.xml"/><Relationship Id="rId18" Type="http://schemas.openxmlformats.org/officeDocument/2006/relationships/image" Target="media/image30.emf"/><Relationship Id="rId26" Type="http://schemas.openxmlformats.org/officeDocument/2006/relationships/chart" Target="charts/chart13.xml"/><Relationship Id="rId39" Type="http://schemas.openxmlformats.org/officeDocument/2006/relationships/chart" Target="charts/chart26.xml"/><Relationship Id="rId21" Type="http://schemas.openxmlformats.org/officeDocument/2006/relationships/chart" Target="charts/chart8.xml"/><Relationship Id="rId34" Type="http://schemas.openxmlformats.org/officeDocument/2006/relationships/chart" Target="charts/chart21.xml"/><Relationship Id="rId42" Type="http://schemas.openxmlformats.org/officeDocument/2006/relationships/chart" Target="charts/chart29.xml"/><Relationship Id="rId47" Type="http://schemas.openxmlformats.org/officeDocument/2006/relationships/chart" Target="charts/chart34.xml"/><Relationship Id="rId50" Type="http://schemas.openxmlformats.org/officeDocument/2006/relationships/chart" Target="charts/chart36.xml"/><Relationship Id="rId55"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chart" Target="charts/chart6.xml"/><Relationship Id="rId29" Type="http://schemas.openxmlformats.org/officeDocument/2006/relationships/chart" Target="charts/chart16.xml"/><Relationship Id="rId11" Type="http://schemas.openxmlformats.org/officeDocument/2006/relationships/chart" Target="charts/chart2.xml"/><Relationship Id="rId24" Type="http://schemas.openxmlformats.org/officeDocument/2006/relationships/chart" Target="charts/chart11.xml"/><Relationship Id="rId32" Type="http://schemas.openxmlformats.org/officeDocument/2006/relationships/chart" Target="charts/chart19.xml"/><Relationship Id="rId37" Type="http://schemas.openxmlformats.org/officeDocument/2006/relationships/chart" Target="charts/chart24.xml"/><Relationship Id="rId40" Type="http://schemas.openxmlformats.org/officeDocument/2006/relationships/chart" Target="charts/chart27.xml"/><Relationship Id="rId45" Type="http://schemas.openxmlformats.org/officeDocument/2006/relationships/chart" Target="charts/chart32.xml"/><Relationship Id="rId53" Type="http://schemas.openxmlformats.org/officeDocument/2006/relationships/header" Target="header1.xml"/><Relationship Id="rId58" Type="http://schemas.microsoft.com/office/2011/relationships/people" Target="people.xml"/><Relationship Id="rId5" Type="http://schemas.openxmlformats.org/officeDocument/2006/relationships/settings" Target="settings.xml"/><Relationship Id="rId19" Type="http://schemas.openxmlformats.org/officeDocument/2006/relationships/chart" Target="charts/chart7.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2.jpeg"/><Relationship Id="rId22" Type="http://schemas.openxmlformats.org/officeDocument/2006/relationships/chart" Target="charts/chart9.xml"/><Relationship Id="rId27" Type="http://schemas.openxmlformats.org/officeDocument/2006/relationships/chart" Target="charts/chart14.xml"/><Relationship Id="rId30" Type="http://schemas.openxmlformats.org/officeDocument/2006/relationships/chart" Target="charts/chart17.xml"/><Relationship Id="rId35" Type="http://schemas.openxmlformats.org/officeDocument/2006/relationships/chart" Target="charts/chart22.xml"/><Relationship Id="rId43" Type="http://schemas.openxmlformats.org/officeDocument/2006/relationships/chart" Target="charts/chart30.xml"/><Relationship Id="rId48" Type="http://schemas.openxmlformats.org/officeDocument/2006/relationships/image" Target="media/image5.jpeg"/><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chart" Target="charts/chart37.xml"/><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image" Target="media/image3.emf"/><Relationship Id="rId25" Type="http://schemas.openxmlformats.org/officeDocument/2006/relationships/chart" Target="charts/chart12.xml"/><Relationship Id="rId33" Type="http://schemas.openxmlformats.org/officeDocument/2006/relationships/chart" Target="charts/chart20.xml"/><Relationship Id="rId38" Type="http://schemas.openxmlformats.org/officeDocument/2006/relationships/chart" Target="charts/chart25.xml"/><Relationship Id="rId46" Type="http://schemas.openxmlformats.org/officeDocument/2006/relationships/chart" Target="charts/chart33.xml"/><Relationship Id="rId20" Type="http://schemas.openxmlformats.org/officeDocument/2006/relationships/image" Target="media/image4.jpeg"/><Relationship Id="rId41" Type="http://schemas.openxmlformats.org/officeDocument/2006/relationships/chart" Target="charts/chart28.xml"/><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chart" Target="charts/chart5.xml"/><Relationship Id="rId23" Type="http://schemas.openxmlformats.org/officeDocument/2006/relationships/chart" Target="charts/chart10.xml"/><Relationship Id="rId28" Type="http://schemas.openxmlformats.org/officeDocument/2006/relationships/chart" Target="charts/chart15.xml"/><Relationship Id="rId36" Type="http://schemas.openxmlformats.org/officeDocument/2006/relationships/chart" Target="charts/chart23.xml"/><Relationship Id="rId49" Type="http://schemas.openxmlformats.org/officeDocument/2006/relationships/chart" Target="charts/chart35.xml"/><Relationship Id="rId57" Type="http://schemas.microsoft.com/office/2011/relationships/commentsExtended" Target="commentsExtended.xml"/><Relationship Id="rId10" Type="http://schemas.openxmlformats.org/officeDocument/2006/relationships/chart" Target="charts/chart1.xml"/><Relationship Id="rId31" Type="http://schemas.openxmlformats.org/officeDocument/2006/relationships/chart" Target="charts/chart18.xml"/><Relationship Id="rId44" Type="http://schemas.openxmlformats.org/officeDocument/2006/relationships/chart" Target="charts/chart31.xml"/><Relationship Id="rId52" Type="http://schemas.openxmlformats.org/officeDocument/2006/relationships/chart" Target="charts/chart38.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F:\Work\evaluation\&#1075;&#1088;&#1072;&#1092;&#1080;&#1082;&#1080;.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F:\Work\evaluation\&#1075;&#1088;&#1072;&#1092;&#1080;&#1082;&#1080;.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E:\Work\evaluation\&#1075;&#1088;&#1072;&#1092;&#1080;&#1082;&#1080;.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E:\Work\evaluation\&#1075;&#1088;&#1072;&#1092;&#1080;&#1082;&#1080;.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E:\Work\evaluation\&#1075;&#1088;&#1072;&#1092;&#1080;&#1082;&#1080;.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E:\Work\evaluation\&#1075;&#1088;&#1072;&#1092;&#1080;&#1082;&#1080;.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E:\Work\evaluation\&#1075;&#1088;&#1072;&#1092;&#1080;&#1082;&#1080;.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E:\Work\evaluation\&#1075;&#1088;&#1072;&#1092;&#1080;&#1082;&#1080;.xlsx" TargetMode="Externa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___________Microsoft_Excel3.xlsx"/><Relationship Id="rId1" Type="http://schemas.openxmlformats.org/officeDocument/2006/relationships/themeOverride" Target="../theme/themeOverride3.xml"/></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___________Microsoft_Excel4.xlsx"/></Relationships>
</file>

<file path=word/charts/_rels/chart2.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E:\Work\evaluation\&#1075;&#1088;&#1072;&#1092;&#1080;&#1082;&#1080;.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E:\Work\evaluation\&#1075;&#1088;&#1072;&#1092;&#1080;&#1082;&#1080;.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E:\Work\evaluation\&#1075;&#1088;&#1072;&#1092;&#1080;&#1082;&#1080;.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E:\Work\evaluation\&#1075;&#1088;&#1072;&#1092;&#1080;&#1082;&#1080;.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F:\Work\evaluation\&#1075;&#1088;&#1072;&#1092;&#1080;&#1082;&#1080;.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F:\Work\evaluation\&#1075;&#1088;&#1072;&#1092;&#1080;&#1082;&#1080;.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E:\Work\evaluation\&#1075;&#1088;&#1072;&#1092;&#1080;&#1082;&#1080;.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E:\Work\evaluation\&#1075;&#1088;&#1072;&#1092;&#1080;&#1082;&#1080;.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F:\&#1075;&#1088;&#1072;&#1092;&#1080;&#1082;&#1080;.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F:\&#1075;&#1088;&#1072;&#1092;&#1080;&#1082;&#1080;.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sspasov\Desktop\CLLD%20progress%20MC%20RDP%20July%202016.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F:\&#1075;&#1088;&#1072;&#1092;&#1080;&#1082;&#1080;.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F:\&#1075;&#1088;&#1072;&#1092;&#1080;&#1082;&#1080;.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F:\&#1075;&#1088;&#1072;&#1092;&#1080;&#1082;&#1080;.xlsx" TargetMode="External"/></Relationships>
</file>

<file path=word/charts/_rels/chart33.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F:\Work\evaluation\&#1075;&#1088;&#1072;&#1092;&#1080;&#1082;&#1080;.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F:\Work\evaluation\&#1075;&#1088;&#1072;&#1092;&#1080;&#1082;&#1080;.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F:\Work\evaluation\&#1075;&#1088;&#1072;&#1092;&#1080;&#1082;&#1080;.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F:\Work\evaluation\&#1075;&#1088;&#1072;&#1092;&#1080;&#1082;&#1080;.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F:\Work\evaluation\&#1075;&#1088;&#1072;&#1092;&#1080;&#1082;&#1080;.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F:\Work\evaluation\&#1075;&#1088;&#1072;&#1092;&#1080;&#1082;&#108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F:\Work\evaluation\&#1075;&#1088;&#1072;&#1092;&#1080;&#1082;&#108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F:\Work\evaluation\&#1075;&#1088;&#1072;&#1092;&#1080;&#1082;&#1080;.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F:\Work\evaluation\&#1075;&#1088;&#1072;&#1092;&#1080;&#1082;&#1080;.xlsx" TargetMode="Externa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___________Microsoft_Excel1.xlsx"/><Relationship Id="rId1" Type="http://schemas.openxmlformats.org/officeDocument/2006/relationships/themeOverride" Target="../theme/themeOverride1.xml"/></Relationships>
</file>

<file path=word/charts/_rels/chart8.xml.rels><?xml version="1.0" encoding="UTF-8" standalone="yes"?>
<Relationships xmlns="http://schemas.openxmlformats.org/package/2006/relationships"><Relationship Id="rId1" Type="http://schemas.openxmlformats.org/officeDocument/2006/relationships/oleObject" Target="file:///F:\Work\evaluation\&#1075;&#1088;&#1072;&#1092;&#1080;&#1082;&#1080;.xlsx" TargetMode="Externa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___________Microsoft_Excel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explosion val="25"/>
          <c:dPt>
            <c:idx val="0"/>
            <c:bubble3D val="0"/>
            <c:spPr>
              <a:solidFill>
                <a:srgbClr val="FF0000"/>
              </a:solidFill>
            </c:spPr>
            <c:extLst xmlns:c16r2="http://schemas.microsoft.com/office/drawing/2015/06/chart">
              <c:ext xmlns:c16="http://schemas.microsoft.com/office/drawing/2014/chart" uri="{C3380CC4-5D6E-409C-BE32-E72D297353CC}">
                <c16:uniqueId val="{00000001-5B94-412E-9B40-C420E5A36CD1}"/>
              </c:ext>
            </c:extLst>
          </c:dPt>
          <c:dPt>
            <c:idx val="1"/>
            <c:bubble3D val="0"/>
            <c:spPr>
              <a:solidFill>
                <a:srgbClr val="00B0F0"/>
              </a:solidFill>
            </c:spPr>
            <c:extLst xmlns:c16r2="http://schemas.microsoft.com/office/drawing/2015/06/chart">
              <c:ext xmlns:c16="http://schemas.microsoft.com/office/drawing/2014/chart" uri="{C3380CC4-5D6E-409C-BE32-E72D297353CC}">
                <c16:uniqueId val="{00000003-5B94-412E-9B40-C420E5A36CD1}"/>
              </c:ext>
            </c:extLst>
          </c:dPt>
          <c:dPt>
            <c:idx val="2"/>
            <c:bubble3D val="0"/>
            <c:spPr>
              <a:solidFill>
                <a:srgbClr val="0070C0"/>
              </a:solidFill>
            </c:spPr>
            <c:extLst xmlns:c16r2="http://schemas.microsoft.com/office/drawing/2015/06/chart">
              <c:ext xmlns:c16="http://schemas.microsoft.com/office/drawing/2014/chart" uri="{C3380CC4-5D6E-409C-BE32-E72D297353CC}">
                <c16:uniqueId val="{00000005-5B94-412E-9B40-C420E5A36CD1}"/>
              </c:ext>
            </c:extLst>
          </c:dPt>
          <c:dPt>
            <c:idx val="3"/>
            <c:bubble3D val="0"/>
            <c:spPr>
              <a:solidFill>
                <a:srgbClr val="002060"/>
              </a:solidFill>
            </c:spPr>
            <c:extLst xmlns:c16r2="http://schemas.microsoft.com/office/drawing/2015/06/chart">
              <c:ext xmlns:c16="http://schemas.microsoft.com/office/drawing/2014/chart" uri="{C3380CC4-5D6E-409C-BE32-E72D297353CC}">
                <c16:uniqueId val="{00000007-5B94-412E-9B40-C420E5A36CD1}"/>
              </c:ext>
            </c:extLst>
          </c:dPt>
          <c:dLbls>
            <c:dLbl>
              <c:idx val="1"/>
              <c:layout>
                <c:manualLayout>
                  <c:x val="-1.6754004015394078E-2"/>
                  <c:y val="-9.7280860916770601E-2"/>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5B94-412E-9B40-C420E5A36CD1}"/>
                </c:ext>
              </c:extLst>
            </c:dLbl>
            <c:spPr>
              <a:noFill/>
              <a:ln>
                <a:noFill/>
              </a:ln>
              <a:effectLst/>
            </c:spPr>
            <c:txPr>
              <a:bodyPr/>
              <a:lstStyle/>
              <a:p>
                <a:pPr>
                  <a:defRPr>
                    <a:solidFill>
                      <a:schemeClr val="bg1"/>
                    </a:solidFill>
                  </a:defRPr>
                </a:pPr>
                <a:endParaRPr lang="it-IT"/>
              </a:p>
            </c:tx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15:layout/>
              </c:ext>
            </c:extLst>
          </c:dLbls>
          <c:cat>
            <c:strRef>
              <c:f>Sheet1!$B$7:$B$10</c:f>
              <c:strCache>
                <c:ptCount val="4"/>
                <c:pt idx="0">
                  <c:v>само ЕЗФРСР - 23</c:v>
                </c:pt>
                <c:pt idx="1">
                  <c:v>ЕЗФРСР + ЕФРР - 2</c:v>
                </c:pt>
                <c:pt idx="2">
                  <c:v>ЕЗФРСР + ЕСФ - 6</c:v>
                </c:pt>
                <c:pt idx="3">
                  <c:v>ЕЗФРСР + ЕФРР + ЕСФ - 22</c:v>
                </c:pt>
              </c:strCache>
            </c:strRef>
          </c:cat>
          <c:val>
            <c:numRef>
              <c:f>Sheet1!$C$7:$C$10</c:f>
              <c:numCache>
                <c:formatCode>General</c:formatCode>
                <c:ptCount val="4"/>
                <c:pt idx="0">
                  <c:v>23</c:v>
                </c:pt>
                <c:pt idx="1">
                  <c:v>2</c:v>
                </c:pt>
                <c:pt idx="2">
                  <c:v>6</c:v>
                </c:pt>
                <c:pt idx="3">
                  <c:v>22</c:v>
                </c:pt>
              </c:numCache>
            </c:numRef>
          </c:val>
          <c:extLst xmlns:c16r2="http://schemas.microsoft.com/office/drawing/2015/06/chart">
            <c:ext xmlns:c16="http://schemas.microsoft.com/office/drawing/2014/chart" uri="{C3380CC4-5D6E-409C-BE32-E72D297353CC}">
              <c16:uniqueId val="{00000008-5B94-412E-9B40-C420E5A36CD1}"/>
            </c:ext>
          </c:extLst>
        </c:ser>
        <c:dLbls>
          <c:showLegendKey val="0"/>
          <c:showVal val="0"/>
          <c:showCatName val="0"/>
          <c:showSerName val="0"/>
          <c:showPercent val="1"/>
          <c:showBubbleSize val="0"/>
          <c:showLeaderLines val="1"/>
        </c:dLbls>
      </c:pie3DChart>
    </c:plotArea>
    <c:legend>
      <c:legendPos val="r"/>
      <c:layout>
        <c:manualLayout>
          <c:xMode val="edge"/>
          <c:yMode val="edge"/>
          <c:x val="0.60863319830685902"/>
          <c:y val="0.11967068918447112"/>
          <c:w val="0.32457168287490074"/>
          <c:h val="0.6462982617205647"/>
        </c:manualLayout>
      </c:layout>
      <c:overlay val="0"/>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dLbls>
            <c:dLbl>
              <c:idx val="0"/>
              <c:layout>
                <c:manualLayout>
                  <c:x val="3.6858180018528378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5EFA-4B71-A55E-DD8F624611E4}"/>
                </c:ext>
              </c:extLst>
            </c:dLbl>
            <c:dLbl>
              <c:idx val="1"/>
              <c:layout>
                <c:manualLayout>
                  <c:x val="0"/>
                  <c:y val="-2.864855824277671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5EFA-4B71-A55E-DD8F624611E4}"/>
                </c:ext>
              </c:extLst>
            </c:dLbl>
            <c:dLbl>
              <c:idx val="3"/>
              <c:layout>
                <c:manualLayout>
                  <c:x val="-3.8798084230029867E-2"/>
                  <c:y val="-8.1853023550791364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5EFA-4B71-A55E-DD8F624611E4}"/>
                </c:ext>
              </c:extLst>
            </c:dLbl>
            <c:dLbl>
              <c:idx val="4"/>
              <c:layout>
                <c:manualLayout>
                  <c:x val="0"/>
                  <c:y val="-3.274120942031631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5EFA-4B71-A55E-DD8F624611E4}"/>
                </c:ext>
              </c:extLst>
            </c:dLbl>
            <c:dLbl>
              <c:idx val="6"/>
              <c:layout>
                <c:manualLayout>
                  <c:x val="-2.1338946326516429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5EFA-4B71-A55E-DD8F624611E4}"/>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'19.2'!$A$70:$A$77</c:f>
              <c:strCache>
                <c:ptCount val="8"/>
                <c:pt idx="0">
                  <c:v>мярка 7.2</c:v>
                </c:pt>
                <c:pt idx="1">
                  <c:v>мярка 4.1</c:v>
                </c:pt>
                <c:pt idx="2">
                  <c:v>мерки, разработени от МИГ</c:v>
                </c:pt>
                <c:pt idx="3">
                  <c:v>мярка 6.4</c:v>
                </c:pt>
                <c:pt idx="4">
                  <c:v>мярка 7.5</c:v>
                </c:pt>
                <c:pt idx="5">
                  <c:v>мярка 4.2</c:v>
                </c:pt>
                <c:pt idx="6">
                  <c:v>мярка 7.6</c:v>
                </c:pt>
                <c:pt idx="7">
                  <c:v>мярка 8.6</c:v>
                </c:pt>
              </c:strCache>
            </c:strRef>
          </c:cat>
          <c:val>
            <c:numRef>
              <c:f>'19.2'!$C$70:$C$77</c:f>
              <c:numCache>
                <c:formatCode>_-* #,##0.00\ [$лв.-402]_-;\-* #,##0.00\ [$лв.-402]_-;_-* "-"??\ [$лв.-402]_-;_-@_-</c:formatCode>
                <c:ptCount val="8"/>
                <c:pt idx="0">
                  <c:v>34444229.560000002</c:v>
                </c:pt>
                <c:pt idx="1">
                  <c:v>12415382.869999999</c:v>
                </c:pt>
                <c:pt idx="2">
                  <c:v>2117430.9700000002</c:v>
                </c:pt>
                <c:pt idx="3">
                  <c:v>5535544.0800000001</c:v>
                </c:pt>
                <c:pt idx="4">
                  <c:v>4660666.26</c:v>
                </c:pt>
                <c:pt idx="5">
                  <c:v>3694852.93</c:v>
                </c:pt>
                <c:pt idx="6">
                  <c:v>375000.51</c:v>
                </c:pt>
                <c:pt idx="7">
                  <c:v>636892.42000000004</c:v>
                </c:pt>
              </c:numCache>
            </c:numRef>
          </c:val>
          <c:extLst xmlns:c16r2="http://schemas.microsoft.com/office/drawing/2015/06/chart">
            <c:ext xmlns:c16="http://schemas.microsoft.com/office/drawing/2014/chart" uri="{C3380CC4-5D6E-409C-BE32-E72D297353CC}">
              <c16:uniqueId val="{00000005-5EFA-4B71-A55E-DD8F624611E4}"/>
            </c:ext>
          </c:extLst>
        </c:ser>
        <c:dLbls>
          <c:showLegendKey val="0"/>
          <c:showVal val="0"/>
          <c:showCatName val="0"/>
          <c:showSerName val="0"/>
          <c:showPercent val="0"/>
          <c:showBubbleSize val="0"/>
        </c:dLbls>
        <c:gapWidth val="150"/>
        <c:axId val="156258304"/>
        <c:axId val="133068992"/>
      </c:barChart>
      <c:catAx>
        <c:axId val="156258304"/>
        <c:scaling>
          <c:orientation val="minMax"/>
        </c:scaling>
        <c:delete val="0"/>
        <c:axPos val="b"/>
        <c:numFmt formatCode="General" sourceLinked="0"/>
        <c:majorTickMark val="out"/>
        <c:minorTickMark val="none"/>
        <c:tickLblPos val="nextTo"/>
        <c:crossAx val="133068992"/>
        <c:crosses val="autoZero"/>
        <c:auto val="1"/>
        <c:lblAlgn val="ctr"/>
        <c:lblOffset val="100"/>
        <c:noMultiLvlLbl val="0"/>
      </c:catAx>
      <c:valAx>
        <c:axId val="133068992"/>
        <c:scaling>
          <c:orientation val="minMax"/>
        </c:scaling>
        <c:delete val="0"/>
        <c:axPos val="l"/>
        <c:majorGridlines/>
        <c:numFmt formatCode="0" sourceLinked="0"/>
        <c:majorTickMark val="out"/>
        <c:minorTickMark val="none"/>
        <c:tickLblPos val="nextTo"/>
        <c:crossAx val="156258304"/>
        <c:crosses val="autoZero"/>
        <c:crossBetween val="between"/>
      </c:valAx>
    </c:plotArea>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24"/>
    </mc:Choice>
    <mc:Fallback>
      <c:style val="24"/>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dLbl>
              <c:idx val="0"/>
              <c:tx>
                <c:rich>
                  <a:bodyPr/>
                  <a:lstStyle/>
                  <a:p>
                    <a:r>
                      <a:rPr lang="en-US"/>
                      <a:t>64,30 %</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AFA0-4C46-B19E-2604B092BC42}"/>
                </c:ext>
              </c:extLst>
            </c:dLbl>
            <c:dLbl>
              <c:idx val="1"/>
              <c:tx>
                <c:rich>
                  <a:bodyPr/>
                  <a:lstStyle/>
                  <a:p>
                    <a:r>
                      <a:rPr lang="en-US"/>
                      <a:t>35,70</a:t>
                    </a:r>
                    <a:r>
                      <a:rPr lang="en-US" baseline="0"/>
                      <a:t> </a:t>
                    </a:r>
                    <a:r>
                      <a:rPr lang="en-US"/>
                      <a:t>%</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AFA0-4C46-B19E-2604B092BC42}"/>
                </c:ext>
              </c:extLst>
            </c:dLbl>
            <c:numFmt formatCode="0.00%" sourceLinked="0"/>
            <c:spPr>
              <a:noFill/>
              <a:ln>
                <a:noFill/>
              </a:ln>
              <a:effectLst/>
            </c:sp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'19.3'!$A$57:$A$58</c:f>
              <c:strCache>
                <c:ptCount val="2"/>
                <c:pt idx="0">
                  <c:v>недоговорени средства - 115 040 701,40 лв.</c:v>
                </c:pt>
                <c:pt idx="1">
                  <c:v>средства, договорени към крайни бенефициенти - 63 879 999,60 лв.</c:v>
                </c:pt>
              </c:strCache>
            </c:strRef>
          </c:cat>
          <c:val>
            <c:numRef>
              <c:f>'19.3'!$B$57:$B$58</c:f>
              <c:numCache>
                <c:formatCode>_-* #,##0.00\ [$лв.-402]_-;\-* #,##0.00\ [$лв.-402]_-;_-* "-"??\ [$лв.-402]_-;_-@_-</c:formatCode>
                <c:ptCount val="2"/>
                <c:pt idx="0">
                  <c:v>115040701.39766398</c:v>
                </c:pt>
                <c:pt idx="1">
                  <c:v>63879999.602336019</c:v>
                </c:pt>
              </c:numCache>
            </c:numRef>
          </c:val>
          <c:extLst xmlns:c16r2="http://schemas.microsoft.com/office/drawing/2015/06/chart">
            <c:ext xmlns:c16="http://schemas.microsoft.com/office/drawing/2014/chart" uri="{C3380CC4-5D6E-409C-BE32-E72D297353CC}">
              <c16:uniqueId val="{00000002-AFA0-4C46-B19E-2604B092BC42}"/>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'19.2'!$A$131:$A$134</c:f>
              <c:strCache>
                <c:ptCount val="4"/>
                <c:pt idx="0">
                  <c:v>приключили процедури</c:v>
                </c:pt>
                <c:pt idx="1">
                  <c:v>анулирани процедури</c:v>
                </c:pt>
                <c:pt idx="2">
                  <c:v>активни процедури</c:v>
                </c:pt>
                <c:pt idx="3">
                  <c:v>процедури в процес на подготовка</c:v>
                </c:pt>
              </c:strCache>
            </c:strRef>
          </c:cat>
          <c:val>
            <c:numRef>
              <c:f>'19.2'!$B$131:$B$134</c:f>
              <c:numCache>
                <c:formatCode>General</c:formatCode>
                <c:ptCount val="4"/>
                <c:pt idx="0">
                  <c:v>87</c:v>
                </c:pt>
                <c:pt idx="1">
                  <c:v>4</c:v>
                </c:pt>
                <c:pt idx="2">
                  <c:v>3</c:v>
                </c:pt>
                <c:pt idx="3">
                  <c:v>3</c:v>
                </c:pt>
              </c:numCache>
            </c:numRef>
          </c:val>
          <c:extLst xmlns:c16r2="http://schemas.microsoft.com/office/drawing/2015/06/chart">
            <c:ext xmlns:c16="http://schemas.microsoft.com/office/drawing/2014/chart" uri="{C3380CC4-5D6E-409C-BE32-E72D297353CC}">
              <c16:uniqueId val="{00000000-02D2-4766-B76A-0FCDB219CBBE}"/>
            </c:ext>
          </c:extLst>
        </c:ser>
        <c:dLbls>
          <c:showLegendKey val="0"/>
          <c:showVal val="0"/>
          <c:showCatName val="0"/>
          <c:showSerName val="0"/>
          <c:showPercent val="0"/>
          <c:showBubbleSize val="0"/>
        </c:dLbls>
        <c:gapWidth val="204"/>
        <c:axId val="156258816"/>
        <c:axId val="133070144"/>
      </c:barChart>
      <c:catAx>
        <c:axId val="156258816"/>
        <c:scaling>
          <c:orientation val="minMax"/>
        </c:scaling>
        <c:delete val="0"/>
        <c:axPos val="b"/>
        <c:numFmt formatCode="General" sourceLinked="0"/>
        <c:majorTickMark val="out"/>
        <c:minorTickMark val="none"/>
        <c:tickLblPos val="nextTo"/>
        <c:crossAx val="133070144"/>
        <c:crosses val="autoZero"/>
        <c:auto val="1"/>
        <c:lblAlgn val="ctr"/>
        <c:lblOffset val="100"/>
        <c:noMultiLvlLbl val="0"/>
      </c:catAx>
      <c:valAx>
        <c:axId val="133070144"/>
        <c:scaling>
          <c:orientation val="minMax"/>
        </c:scaling>
        <c:delete val="0"/>
        <c:axPos val="l"/>
        <c:majorGridlines/>
        <c:numFmt formatCode="General" sourceLinked="1"/>
        <c:majorTickMark val="out"/>
        <c:minorTickMark val="none"/>
        <c:tickLblPos val="nextTo"/>
        <c:crossAx val="156258816"/>
        <c:crosses val="autoZero"/>
        <c:crossBetween val="between"/>
      </c:valAx>
    </c:plotArea>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24"/>
    </mc:Choice>
    <mc:Fallback>
      <c:style val="24"/>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pPr>
              <a:noFill/>
              <a:ln>
                <a:noFill/>
              </a:ln>
              <a:effectLst/>
            </c:sp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15:layout/>
              </c:ext>
            </c:extLst>
          </c:dLbls>
          <c:cat>
            <c:strRef>
              <c:f>'19.2'!$A$162:$A$163</c:f>
              <c:strCache>
                <c:ptCount val="2"/>
                <c:pt idx="0">
                  <c:v>недоговорени средства - 13 531 844,97 лв.</c:v>
                </c:pt>
                <c:pt idx="1">
                  <c:v>средства, договорени към крайни бенефициенти - 43 760 695,03 лв.</c:v>
                </c:pt>
              </c:strCache>
            </c:strRef>
          </c:cat>
          <c:val>
            <c:numRef>
              <c:f>'19.2'!$C$162:$C$163</c:f>
              <c:numCache>
                <c:formatCode>0.00%</c:formatCode>
                <c:ptCount val="2"/>
                <c:pt idx="0">
                  <c:v>0.23618860273955386</c:v>
                </c:pt>
                <c:pt idx="1">
                  <c:v>0.76381139726044611</c:v>
                </c:pt>
              </c:numCache>
            </c:numRef>
          </c:val>
          <c:extLst xmlns:c16r2="http://schemas.microsoft.com/office/drawing/2015/06/chart">
            <c:ext xmlns:c16="http://schemas.microsoft.com/office/drawing/2014/chart" uri="{C3380CC4-5D6E-409C-BE32-E72D297353CC}">
              <c16:uniqueId val="{00000000-F8D4-4E46-8DCF-B1679F903287}"/>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24"/>
    </mc:Choice>
    <mc:Fallback>
      <c:style val="24"/>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pPr>
              <a:noFill/>
              <a:ln>
                <a:noFill/>
              </a:ln>
              <a:effectLst/>
            </c:sp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15:layout/>
              </c:ext>
            </c:extLst>
          </c:dLbls>
          <c:cat>
            <c:strRef>
              <c:f>'19.2'!$A$177:$A$178</c:f>
              <c:strCache>
                <c:ptCount val="2"/>
                <c:pt idx="0">
                  <c:v>недоговорени средства - 6 536 320,15 лв.</c:v>
                </c:pt>
                <c:pt idx="1">
                  <c:v>средства, договорени към крайни бенефициенти - 38 787 903,25 лв.</c:v>
                </c:pt>
              </c:strCache>
            </c:strRef>
          </c:cat>
          <c:val>
            <c:numRef>
              <c:f>'19.2'!$C$177:$C$178</c:f>
              <c:numCache>
                <c:formatCode>0.00%</c:formatCode>
                <c:ptCount val="2"/>
                <c:pt idx="0">
                  <c:v>0.14421251286127937</c:v>
                </c:pt>
                <c:pt idx="1">
                  <c:v>0.85578748713872066</c:v>
                </c:pt>
              </c:numCache>
            </c:numRef>
          </c:val>
          <c:extLst xmlns:c16r2="http://schemas.microsoft.com/office/drawing/2015/06/chart">
            <c:ext xmlns:c16="http://schemas.microsoft.com/office/drawing/2014/chart" uri="{C3380CC4-5D6E-409C-BE32-E72D297353CC}">
              <c16:uniqueId val="{00000000-EE29-4EE9-9C78-DB16CB9359DF}"/>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24"/>
    </mc:Choice>
    <mc:Fallback>
      <c:style val="24"/>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pPr>
              <a:noFill/>
              <a:ln>
                <a:noFill/>
              </a:ln>
              <a:effectLst/>
            </c:sp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15:layout/>
              </c:ext>
            </c:extLst>
          </c:dLbls>
          <c:cat>
            <c:strRef>
              <c:f>'19.2'!$A$191:$A$192</c:f>
              <c:strCache>
                <c:ptCount val="2"/>
                <c:pt idx="0">
                  <c:v>недоговорени средства - 2 209 437,18 лв.</c:v>
                </c:pt>
                <c:pt idx="1">
                  <c:v>средства, договорени към крайни бенефициенти - 7 944 197,62 лв.</c:v>
                </c:pt>
              </c:strCache>
            </c:strRef>
          </c:cat>
          <c:val>
            <c:numRef>
              <c:f>'19.2'!$C$191:$C$192</c:f>
              <c:numCache>
                <c:formatCode>0.00%</c:formatCode>
                <c:ptCount val="2"/>
                <c:pt idx="0">
                  <c:v>0.21760061529886821</c:v>
                </c:pt>
                <c:pt idx="1">
                  <c:v>0.78239938470113179</c:v>
                </c:pt>
              </c:numCache>
            </c:numRef>
          </c:val>
          <c:extLst xmlns:c16r2="http://schemas.microsoft.com/office/drawing/2015/06/chart">
            <c:ext xmlns:c16="http://schemas.microsoft.com/office/drawing/2014/chart" uri="{C3380CC4-5D6E-409C-BE32-E72D297353CC}">
              <c16:uniqueId val="{00000000-A803-4350-A181-95CC74AF2B60}"/>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24"/>
    </mc:Choice>
    <mc:Fallback>
      <c:style val="24"/>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pPr>
              <a:noFill/>
              <a:ln>
                <a:noFill/>
              </a:ln>
              <a:effectLst/>
            </c:sp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15:layout/>
              </c:ext>
            </c:extLst>
          </c:dLbls>
          <c:cat>
            <c:strRef>
              <c:f>'19.2'!$A$207:$A$208</c:f>
              <c:strCache>
                <c:ptCount val="2"/>
                <c:pt idx="0">
                  <c:v>недоговорени средства - 3 158 885,95 лв.</c:v>
                </c:pt>
                <c:pt idx="1">
                  <c:v>средства, договорени към крайни бенефициенти - 10 313 545,11 лв.</c:v>
                </c:pt>
              </c:strCache>
            </c:strRef>
          </c:cat>
          <c:val>
            <c:numRef>
              <c:f>'19.2'!$C$207:$C$208</c:f>
              <c:numCache>
                <c:formatCode>0.00%</c:formatCode>
                <c:ptCount val="2"/>
                <c:pt idx="0">
                  <c:v>0.23447037404992302</c:v>
                </c:pt>
                <c:pt idx="1">
                  <c:v>0.76552962595007701</c:v>
                </c:pt>
              </c:numCache>
            </c:numRef>
          </c:val>
          <c:extLst xmlns:c16r2="http://schemas.microsoft.com/office/drawing/2015/06/chart">
            <c:ext xmlns:c16="http://schemas.microsoft.com/office/drawing/2014/chart" uri="{C3380CC4-5D6E-409C-BE32-E72D297353CC}">
              <c16:uniqueId val="{00000000-1CEE-41D2-A946-578F98B6C854}"/>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24"/>
    </mc:Choice>
    <mc:Fallback>
      <c:style val="24"/>
    </mc:Fallback>
  </mc:AlternateContent>
  <c:chart>
    <c:autoTitleDeleted val="0"/>
    <c:plotArea>
      <c:layout/>
      <c:barChart>
        <c:barDir val="col"/>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'19.2'!$A$224:$A$228</c:f>
              <c:strCache>
                <c:ptCount val="5"/>
                <c:pt idx="0">
                  <c:v>ПРСР 2014 - 2020 г.</c:v>
                </c:pt>
                <c:pt idx="1">
                  <c:v>ОПИК 2014 - 2020 г.</c:v>
                </c:pt>
                <c:pt idx="2">
                  <c:v>ОПРЧР 2014 - 2020 г.</c:v>
                </c:pt>
                <c:pt idx="3">
                  <c:v>ОПОС 2014 - 2020 г.</c:v>
                </c:pt>
                <c:pt idx="4">
                  <c:v>ОПНОИР 2014 - 2020 г.</c:v>
                </c:pt>
              </c:strCache>
            </c:strRef>
          </c:cat>
          <c:val>
            <c:numRef>
              <c:f>'19.2'!$B$224:$B$228</c:f>
              <c:numCache>
                <c:formatCode>General</c:formatCode>
                <c:ptCount val="5"/>
                <c:pt idx="0">
                  <c:v>470</c:v>
                </c:pt>
                <c:pt idx="1">
                  <c:v>87</c:v>
                </c:pt>
                <c:pt idx="2">
                  <c:v>174</c:v>
                </c:pt>
                <c:pt idx="3">
                  <c:v>12</c:v>
                </c:pt>
                <c:pt idx="4">
                  <c:v>16</c:v>
                </c:pt>
              </c:numCache>
            </c:numRef>
          </c:val>
          <c:extLst xmlns:c16r2="http://schemas.microsoft.com/office/drawing/2015/06/chart">
            <c:ext xmlns:c16="http://schemas.microsoft.com/office/drawing/2014/chart" uri="{C3380CC4-5D6E-409C-BE32-E72D297353CC}">
              <c16:uniqueId val="{00000000-4331-42DE-9028-66EF3327D6EE}"/>
            </c:ext>
          </c:extLst>
        </c:ser>
        <c:dLbls>
          <c:showLegendKey val="0"/>
          <c:showVal val="0"/>
          <c:showCatName val="0"/>
          <c:showSerName val="0"/>
          <c:showPercent val="0"/>
          <c:showBubbleSize val="0"/>
        </c:dLbls>
        <c:gapWidth val="150"/>
        <c:axId val="156259328"/>
        <c:axId val="135190144"/>
      </c:barChart>
      <c:catAx>
        <c:axId val="156259328"/>
        <c:scaling>
          <c:orientation val="minMax"/>
        </c:scaling>
        <c:delete val="0"/>
        <c:axPos val="b"/>
        <c:numFmt formatCode="General" sourceLinked="0"/>
        <c:majorTickMark val="out"/>
        <c:minorTickMark val="none"/>
        <c:tickLblPos val="nextTo"/>
        <c:crossAx val="135190144"/>
        <c:crosses val="autoZero"/>
        <c:auto val="1"/>
        <c:lblAlgn val="ctr"/>
        <c:lblOffset val="100"/>
        <c:noMultiLvlLbl val="0"/>
      </c:catAx>
      <c:valAx>
        <c:axId val="135190144"/>
        <c:scaling>
          <c:orientation val="minMax"/>
        </c:scaling>
        <c:delete val="0"/>
        <c:axPos val="l"/>
        <c:majorGridlines/>
        <c:numFmt formatCode="General" sourceLinked="1"/>
        <c:majorTickMark val="out"/>
        <c:minorTickMark val="none"/>
        <c:tickLblPos val="nextTo"/>
        <c:crossAx val="156259328"/>
        <c:crosses val="autoZero"/>
        <c:crossBetween val="between"/>
      </c:valAx>
    </c:plotArea>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'19.2'!$A$240:$A$244</c:f>
              <c:strCache>
                <c:ptCount val="5"/>
                <c:pt idx="0">
                  <c:v>ПРСР 2014 - 2020 г.</c:v>
                </c:pt>
                <c:pt idx="1">
                  <c:v>ОПИК 2014 - 2020 г.</c:v>
                </c:pt>
                <c:pt idx="2">
                  <c:v>ОПРЧР 2014 - 2020 г.</c:v>
                </c:pt>
                <c:pt idx="3">
                  <c:v>ОПОС 2014 - 2020 г.</c:v>
                </c:pt>
                <c:pt idx="4">
                  <c:v>ОПНОИР 2014 - 2020 г.</c:v>
                </c:pt>
              </c:strCache>
            </c:strRef>
          </c:cat>
          <c:val>
            <c:numRef>
              <c:f>'19.2'!$B$240:$B$244</c:f>
              <c:numCache>
                <c:formatCode>General</c:formatCode>
                <c:ptCount val="5"/>
                <c:pt idx="0">
                  <c:v>594</c:v>
                </c:pt>
                <c:pt idx="1">
                  <c:v>170</c:v>
                </c:pt>
                <c:pt idx="2">
                  <c:v>297</c:v>
                </c:pt>
                <c:pt idx="3">
                  <c:v>9</c:v>
                </c:pt>
                <c:pt idx="4">
                  <c:v>49</c:v>
                </c:pt>
              </c:numCache>
            </c:numRef>
          </c:val>
          <c:extLst xmlns:c16r2="http://schemas.microsoft.com/office/drawing/2015/06/chart">
            <c:ext xmlns:c16="http://schemas.microsoft.com/office/drawing/2014/chart" uri="{C3380CC4-5D6E-409C-BE32-E72D297353CC}">
              <c16:uniqueId val="{00000000-7C07-4D0D-8EBA-9227775F61AF}"/>
            </c:ext>
          </c:extLst>
        </c:ser>
        <c:dLbls>
          <c:showLegendKey val="0"/>
          <c:showVal val="0"/>
          <c:showCatName val="0"/>
          <c:showSerName val="0"/>
          <c:showPercent val="0"/>
          <c:showBubbleSize val="0"/>
        </c:dLbls>
        <c:gapWidth val="150"/>
        <c:axId val="199046144"/>
        <c:axId val="155058752"/>
      </c:barChart>
      <c:catAx>
        <c:axId val="199046144"/>
        <c:scaling>
          <c:orientation val="minMax"/>
        </c:scaling>
        <c:delete val="0"/>
        <c:axPos val="b"/>
        <c:numFmt formatCode="General" sourceLinked="0"/>
        <c:majorTickMark val="out"/>
        <c:minorTickMark val="none"/>
        <c:tickLblPos val="nextTo"/>
        <c:crossAx val="155058752"/>
        <c:crosses val="autoZero"/>
        <c:auto val="1"/>
        <c:lblAlgn val="ctr"/>
        <c:lblOffset val="100"/>
        <c:noMultiLvlLbl val="0"/>
      </c:catAx>
      <c:valAx>
        <c:axId val="155058752"/>
        <c:scaling>
          <c:orientation val="minMax"/>
        </c:scaling>
        <c:delete val="0"/>
        <c:axPos val="l"/>
        <c:majorGridlines/>
        <c:numFmt formatCode="General" sourceLinked="1"/>
        <c:majorTickMark val="out"/>
        <c:minorTickMark val="none"/>
        <c:tickLblPos val="nextTo"/>
        <c:crossAx val="199046144"/>
        <c:crosses val="autoZero"/>
        <c:crossBetween val="between"/>
      </c:valAx>
    </c:plotArea>
    <c:plotVisOnly val="1"/>
    <c:dispBlanksAs val="gap"/>
    <c:showDLblsOverMax val="0"/>
  </c:chart>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24"/>
    </mc:Choice>
    <mc:Fallback>
      <c:style val="24"/>
    </mc:Fallback>
  </mc:AlternateContent>
  <c:chart>
    <c:autoTitleDeleted val="0"/>
    <c:plotArea>
      <c:layout/>
      <c:barChart>
        <c:barDir val="col"/>
        <c:grouping val="clustered"/>
        <c:varyColors val="0"/>
        <c:ser>
          <c:idx val="0"/>
          <c:order val="0"/>
          <c:spPr>
            <a:solidFill>
              <a:srgbClr val="92D050"/>
            </a:solidFill>
          </c:spPr>
          <c:invertIfNegative val="0"/>
          <c:dLbls>
            <c:dLbl>
              <c:idx val="3"/>
              <c:layout>
                <c:manualLayout>
                  <c:x val="0"/>
                  <c:y val="-4.166666666666666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960D-4A8E-A8D8-190E1160234D}"/>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'19.2'!$A$256:$A$260</c:f>
              <c:strCache>
                <c:ptCount val="5"/>
                <c:pt idx="0">
                  <c:v>ПРСР 2014 - 2020 г.</c:v>
                </c:pt>
                <c:pt idx="1">
                  <c:v>ОПИК 2014 - 2020 г.</c:v>
                </c:pt>
                <c:pt idx="2">
                  <c:v>ОПРЧР 2014 - 2020 г.</c:v>
                </c:pt>
                <c:pt idx="3">
                  <c:v>ОПОС 2014 - 2020 г.</c:v>
                </c:pt>
                <c:pt idx="4">
                  <c:v>ОПНОИР 2014 - 2020 г.</c:v>
                </c:pt>
              </c:strCache>
            </c:strRef>
          </c:cat>
          <c:val>
            <c:numRef>
              <c:f>'19.2'!$B$256:$B$260</c:f>
              <c:numCache>
                <c:formatCode>_-* #,##0.00\ [$лв.-402]_-;\-* #,##0.00\ [$лв.-402]_-;_-* "-"??\ [$лв.-402]_-;_-@_-</c:formatCode>
                <c:ptCount val="5"/>
                <c:pt idx="0">
                  <c:v>63879999.602336019</c:v>
                </c:pt>
                <c:pt idx="1">
                  <c:v>43760695.030000001</c:v>
                </c:pt>
                <c:pt idx="2">
                  <c:v>38787903.25</c:v>
                </c:pt>
                <c:pt idx="3">
                  <c:v>10313545.109999999</c:v>
                </c:pt>
                <c:pt idx="4">
                  <c:v>7944197.6200000001</c:v>
                </c:pt>
              </c:numCache>
            </c:numRef>
          </c:val>
          <c:extLst xmlns:c16r2="http://schemas.microsoft.com/office/drawing/2015/06/chart">
            <c:ext xmlns:c16="http://schemas.microsoft.com/office/drawing/2014/chart" uri="{C3380CC4-5D6E-409C-BE32-E72D297353CC}">
              <c16:uniqueId val="{00000001-960D-4A8E-A8D8-190E1160234D}"/>
            </c:ext>
          </c:extLst>
        </c:ser>
        <c:dLbls>
          <c:showLegendKey val="0"/>
          <c:showVal val="0"/>
          <c:showCatName val="0"/>
          <c:showSerName val="0"/>
          <c:showPercent val="0"/>
          <c:showBubbleSize val="0"/>
        </c:dLbls>
        <c:gapWidth val="150"/>
        <c:axId val="157313536"/>
        <c:axId val="155059904"/>
      </c:barChart>
      <c:catAx>
        <c:axId val="157313536"/>
        <c:scaling>
          <c:orientation val="minMax"/>
        </c:scaling>
        <c:delete val="0"/>
        <c:axPos val="b"/>
        <c:numFmt formatCode="General" sourceLinked="0"/>
        <c:majorTickMark val="out"/>
        <c:minorTickMark val="none"/>
        <c:tickLblPos val="nextTo"/>
        <c:crossAx val="155059904"/>
        <c:crosses val="autoZero"/>
        <c:auto val="1"/>
        <c:lblAlgn val="ctr"/>
        <c:lblOffset val="100"/>
        <c:noMultiLvlLbl val="0"/>
      </c:catAx>
      <c:valAx>
        <c:axId val="155059904"/>
        <c:scaling>
          <c:orientation val="minMax"/>
        </c:scaling>
        <c:delete val="0"/>
        <c:axPos val="l"/>
        <c:majorGridlines/>
        <c:numFmt formatCode="_-* #,##0.00\ [$лв.-402]_-;\-* #,##0.00\ [$лв.-402]_-;_-* &quot;-&quot;??\ [$лв.-402]_-;_-@_-" sourceLinked="1"/>
        <c:majorTickMark val="out"/>
        <c:minorTickMark val="none"/>
        <c:tickLblPos val="nextTo"/>
        <c:crossAx val="157313536"/>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Pt>
            <c:idx val="0"/>
            <c:invertIfNegative val="0"/>
            <c:bubble3D val="0"/>
            <c:spPr>
              <a:solidFill>
                <a:srgbClr val="FFC000"/>
              </a:solidFill>
            </c:spPr>
            <c:extLst xmlns:c16r2="http://schemas.microsoft.com/office/drawing/2015/06/chart">
              <c:ext xmlns:c16="http://schemas.microsoft.com/office/drawing/2014/chart" uri="{C3380CC4-5D6E-409C-BE32-E72D297353CC}">
                <c16:uniqueId val="{00000001-5AD0-432D-9470-17741390887B}"/>
              </c:ext>
            </c:extLst>
          </c:dPt>
          <c:dPt>
            <c:idx val="1"/>
            <c:invertIfNegative val="0"/>
            <c:bubble3D val="0"/>
            <c:spPr>
              <a:solidFill>
                <a:srgbClr val="00B050"/>
              </a:solidFill>
            </c:spPr>
            <c:extLst xmlns:c16r2="http://schemas.microsoft.com/office/drawing/2015/06/chart">
              <c:ext xmlns:c16="http://schemas.microsoft.com/office/drawing/2014/chart" uri="{C3380CC4-5D6E-409C-BE32-E72D297353CC}">
                <c16:uniqueId val="{00000003-5AD0-432D-9470-17741390887B}"/>
              </c:ext>
            </c:extLst>
          </c:dPt>
          <c:dPt>
            <c:idx val="2"/>
            <c:invertIfNegative val="0"/>
            <c:bubble3D val="0"/>
            <c:spPr>
              <a:solidFill>
                <a:srgbClr val="0070C0"/>
              </a:solidFill>
            </c:spPr>
            <c:extLst xmlns:c16r2="http://schemas.microsoft.com/office/drawing/2015/06/chart">
              <c:ext xmlns:c16="http://schemas.microsoft.com/office/drawing/2014/chart" uri="{C3380CC4-5D6E-409C-BE32-E72D297353CC}">
                <c16:uniqueId val="{00000005-5AD0-432D-9470-17741390887B}"/>
              </c:ext>
            </c:extLst>
          </c:dPt>
          <c:dPt>
            <c:idx val="3"/>
            <c:invertIfNegative val="0"/>
            <c:bubble3D val="0"/>
            <c:spPr>
              <a:solidFill>
                <a:srgbClr val="FF0000"/>
              </a:solidFill>
            </c:spPr>
            <c:extLst xmlns:c16r2="http://schemas.microsoft.com/office/drawing/2015/06/chart">
              <c:ext xmlns:c16="http://schemas.microsoft.com/office/drawing/2014/chart" uri="{C3380CC4-5D6E-409C-BE32-E72D297353CC}">
                <c16:uniqueId val="{00000007-5AD0-432D-9470-17741390887B}"/>
              </c:ext>
            </c:extLst>
          </c:dPt>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Sheet1!$B$26:$B$29</c:f>
              <c:strCache>
                <c:ptCount val="4"/>
                <c:pt idx="0">
                  <c:v>ПРСР</c:v>
                </c:pt>
                <c:pt idx="1">
                  <c:v>ОПОС</c:v>
                </c:pt>
                <c:pt idx="2">
                  <c:v>ОПИК</c:v>
                </c:pt>
                <c:pt idx="3">
                  <c:v>ОПРЧР</c:v>
                </c:pt>
              </c:strCache>
            </c:strRef>
          </c:cat>
          <c:val>
            <c:numRef>
              <c:f>Sheet1!$C$26:$C$29</c:f>
              <c:numCache>
                <c:formatCode>General</c:formatCode>
                <c:ptCount val="4"/>
                <c:pt idx="0">
                  <c:v>53</c:v>
                </c:pt>
                <c:pt idx="1">
                  <c:v>3</c:v>
                </c:pt>
                <c:pt idx="2">
                  <c:v>24</c:v>
                </c:pt>
                <c:pt idx="3">
                  <c:v>28</c:v>
                </c:pt>
              </c:numCache>
            </c:numRef>
          </c:val>
          <c:extLst xmlns:c16r2="http://schemas.microsoft.com/office/drawing/2015/06/chart">
            <c:ext xmlns:c16="http://schemas.microsoft.com/office/drawing/2014/chart" uri="{C3380CC4-5D6E-409C-BE32-E72D297353CC}">
              <c16:uniqueId val="{00000008-5AD0-432D-9470-17741390887B}"/>
            </c:ext>
          </c:extLst>
        </c:ser>
        <c:dLbls>
          <c:showLegendKey val="0"/>
          <c:showVal val="0"/>
          <c:showCatName val="0"/>
          <c:showSerName val="0"/>
          <c:showPercent val="0"/>
          <c:showBubbleSize val="0"/>
        </c:dLbls>
        <c:gapWidth val="150"/>
        <c:shape val="cylinder"/>
        <c:axId val="155854336"/>
        <c:axId val="121117440"/>
        <c:axId val="0"/>
      </c:bar3DChart>
      <c:catAx>
        <c:axId val="155854336"/>
        <c:scaling>
          <c:orientation val="minMax"/>
        </c:scaling>
        <c:delete val="0"/>
        <c:axPos val="b"/>
        <c:numFmt formatCode="General" sourceLinked="0"/>
        <c:majorTickMark val="out"/>
        <c:minorTickMark val="none"/>
        <c:tickLblPos val="nextTo"/>
        <c:crossAx val="121117440"/>
        <c:crosses val="autoZero"/>
        <c:auto val="1"/>
        <c:lblAlgn val="ctr"/>
        <c:lblOffset val="100"/>
        <c:noMultiLvlLbl val="0"/>
      </c:catAx>
      <c:valAx>
        <c:axId val="121117440"/>
        <c:scaling>
          <c:orientation val="minMax"/>
        </c:scaling>
        <c:delete val="0"/>
        <c:axPos val="l"/>
        <c:majorGridlines/>
        <c:numFmt formatCode="General" sourceLinked="1"/>
        <c:majorTickMark val="out"/>
        <c:minorTickMark val="none"/>
        <c:tickLblPos val="nextTo"/>
        <c:crossAx val="155854336"/>
        <c:crosses val="autoZero"/>
        <c:crossBetween val="between"/>
      </c:valAx>
    </c:plotArea>
    <c:legend>
      <c:legendPos val="r"/>
      <c:overlay val="0"/>
    </c:legend>
    <c:plotVisOnly val="1"/>
    <c:dispBlanksAs val="gap"/>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24"/>
    </mc:Choice>
    <mc:Fallback>
      <c:style val="24"/>
    </mc:Fallback>
  </mc:AlternateContent>
  <c:chart>
    <c:autoTitleDeleted val="0"/>
    <c:plotArea>
      <c:layout/>
      <c:barChart>
        <c:barDir val="col"/>
        <c:grouping val="clustered"/>
        <c:varyColors val="0"/>
        <c:ser>
          <c:idx val="0"/>
          <c:order val="0"/>
          <c:invertIfNegative val="0"/>
          <c:dPt>
            <c:idx val="1"/>
            <c:invertIfNegative val="0"/>
            <c:bubble3D val="0"/>
            <c:spPr>
              <a:solidFill>
                <a:schemeClr val="accent1"/>
              </a:solidFill>
            </c:spPr>
            <c:extLst xmlns:c16r2="http://schemas.microsoft.com/office/drawing/2015/06/chart">
              <c:ext xmlns:c16="http://schemas.microsoft.com/office/drawing/2014/chart" uri="{C3380CC4-5D6E-409C-BE32-E72D297353CC}">
                <c16:uniqueId val="{00000001-0156-43FF-99B3-7B24F7E6C755}"/>
              </c:ext>
            </c:extLst>
          </c:dPt>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'19.2'!$A$271:$A$276</c:f>
              <c:strCache>
                <c:ptCount val="6"/>
                <c:pt idx="0">
                  <c:v>ПРСР 2014 - 2020 г.</c:v>
                </c:pt>
                <c:pt idx="1">
                  <c:v>ПРСР 2014 - 2020 г. + 19.4</c:v>
                </c:pt>
                <c:pt idx="2">
                  <c:v>ОПИК 2014 - 2020 г.</c:v>
                </c:pt>
                <c:pt idx="3">
                  <c:v>ОПРЧР 2014 - 2020 г.</c:v>
                </c:pt>
                <c:pt idx="4">
                  <c:v>ОПОС 2014 - 2020 г.</c:v>
                </c:pt>
                <c:pt idx="5">
                  <c:v>ОПНОИР 2014 - 2020 г.</c:v>
                </c:pt>
              </c:strCache>
            </c:strRef>
          </c:cat>
          <c:val>
            <c:numRef>
              <c:f>'19.2'!$B$271:$B$276</c:f>
              <c:numCache>
                <c:formatCode>0.00%</c:formatCode>
                <c:ptCount val="6"/>
                <c:pt idx="0">
                  <c:v>0.35702967429317201</c:v>
                </c:pt>
                <c:pt idx="1">
                  <c:v>0.65290000000000004</c:v>
                </c:pt>
                <c:pt idx="2">
                  <c:v>0.76381139726044611</c:v>
                </c:pt>
                <c:pt idx="3">
                  <c:v>0.85578748713872066</c:v>
                </c:pt>
                <c:pt idx="4">
                  <c:v>0.76552962595007701</c:v>
                </c:pt>
                <c:pt idx="5">
                  <c:v>0.78239938470113179</c:v>
                </c:pt>
              </c:numCache>
            </c:numRef>
          </c:val>
          <c:extLst xmlns:c16r2="http://schemas.microsoft.com/office/drawing/2015/06/chart">
            <c:ext xmlns:c16="http://schemas.microsoft.com/office/drawing/2014/chart" uri="{C3380CC4-5D6E-409C-BE32-E72D297353CC}">
              <c16:uniqueId val="{00000002-0156-43FF-99B3-7B24F7E6C755}"/>
            </c:ext>
          </c:extLst>
        </c:ser>
        <c:dLbls>
          <c:showLegendKey val="0"/>
          <c:showVal val="0"/>
          <c:showCatName val="0"/>
          <c:showSerName val="0"/>
          <c:showPercent val="0"/>
          <c:showBubbleSize val="0"/>
        </c:dLbls>
        <c:gapWidth val="150"/>
        <c:axId val="199046656"/>
        <c:axId val="155061056"/>
      </c:barChart>
      <c:catAx>
        <c:axId val="199046656"/>
        <c:scaling>
          <c:orientation val="minMax"/>
        </c:scaling>
        <c:delete val="0"/>
        <c:axPos val="b"/>
        <c:numFmt formatCode="General" sourceLinked="0"/>
        <c:majorTickMark val="out"/>
        <c:minorTickMark val="none"/>
        <c:tickLblPos val="nextTo"/>
        <c:crossAx val="155061056"/>
        <c:crosses val="autoZero"/>
        <c:auto val="1"/>
        <c:lblAlgn val="ctr"/>
        <c:lblOffset val="100"/>
        <c:noMultiLvlLbl val="0"/>
      </c:catAx>
      <c:valAx>
        <c:axId val="155061056"/>
        <c:scaling>
          <c:orientation val="minMax"/>
        </c:scaling>
        <c:delete val="0"/>
        <c:axPos val="l"/>
        <c:majorGridlines/>
        <c:numFmt formatCode="0.00%" sourceLinked="1"/>
        <c:majorTickMark val="out"/>
        <c:minorTickMark val="none"/>
        <c:tickLblPos val="nextTo"/>
        <c:crossAx val="199046656"/>
        <c:crosses val="autoZero"/>
        <c:crossBetween val="between"/>
      </c:valAx>
    </c:plotArea>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24"/>
    </mc:Choice>
    <mc:Fallback>
      <c:style val="24"/>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pPr>
              <a:noFill/>
              <a:ln>
                <a:noFill/>
              </a:ln>
              <a:effectLst/>
            </c:sp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15:layout/>
              </c:ext>
            </c:extLst>
          </c:dLbls>
          <c:cat>
            <c:strRef>
              <c:f>'19.2'!$A$288:$A$289</c:f>
              <c:strCache>
                <c:ptCount val="2"/>
                <c:pt idx="0">
                  <c:v>недоговорени средства - 140 477 189,65 лв.</c:v>
                </c:pt>
                <c:pt idx="1">
                  <c:v>договорени средства - 164 686 340,61 лв.</c:v>
                </c:pt>
              </c:strCache>
            </c:strRef>
          </c:cat>
          <c:val>
            <c:numRef>
              <c:f>'19.2'!$C$288:$C$289</c:f>
              <c:numCache>
                <c:formatCode>0.00%</c:formatCode>
                <c:ptCount val="2"/>
                <c:pt idx="0">
                  <c:v>0.46033413471123852</c:v>
                </c:pt>
                <c:pt idx="1">
                  <c:v>0.53966586528876148</c:v>
                </c:pt>
              </c:numCache>
            </c:numRef>
          </c:val>
          <c:extLst xmlns:c16r2="http://schemas.microsoft.com/office/drawing/2015/06/chart">
            <c:ext xmlns:c16="http://schemas.microsoft.com/office/drawing/2014/chart" uri="{C3380CC4-5D6E-409C-BE32-E72D297353CC}">
              <c16:uniqueId val="{00000000-926D-4EE7-8087-95378E7F93BA}"/>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24"/>
    </mc:Choice>
    <mc:Fallback>
      <c:style val="24"/>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pPr>
              <a:noFill/>
              <a:ln>
                <a:noFill/>
              </a:ln>
              <a:effectLst/>
            </c:sp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15:layout/>
              </c:ext>
            </c:extLst>
          </c:dLbls>
          <c:cat>
            <c:strRef>
              <c:f>'19.2'!$A$304:$A$305</c:f>
              <c:strCache>
                <c:ptCount val="2"/>
                <c:pt idx="0">
                  <c:v>недоговорени средства - 140 477 189,65 лв.</c:v>
                </c:pt>
                <c:pt idx="1">
                  <c:v>договорени средства - 224 070 610,63 лв.</c:v>
                </c:pt>
              </c:strCache>
            </c:strRef>
          </c:cat>
          <c:val>
            <c:numRef>
              <c:f>'19.2'!$C$304:$C$305</c:f>
              <c:numCache>
                <c:formatCode>0.00%</c:formatCode>
                <c:ptCount val="2"/>
                <c:pt idx="0">
                  <c:v>0.38534641970070033</c:v>
                </c:pt>
                <c:pt idx="1">
                  <c:v>0.61465358029929962</c:v>
                </c:pt>
              </c:numCache>
            </c:numRef>
          </c:val>
          <c:extLst xmlns:c16r2="http://schemas.microsoft.com/office/drawing/2015/06/chart">
            <c:ext xmlns:c16="http://schemas.microsoft.com/office/drawing/2014/chart" uri="{C3380CC4-5D6E-409C-BE32-E72D297353CC}">
              <c16:uniqueId val="{00000000-7EC3-41AE-978F-AA3B41ACA074}"/>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24"/>
    </mc:Choice>
    <mc:Fallback>
      <c:style val="24"/>
    </mc:Fallback>
  </mc:AlternateContent>
  <c:chart>
    <c:autoTitleDeleted val="0"/>
    <c:plotArea>
      <c:layout/>
      <c:barChart>
        <c:barDir val="col"/>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'възстановяване средства'!$B$3:$B$7</c:f>
              <c:strCache>
                <c:ptCount val="5"/>
                <c:pt idx="0">
                  <c:v>ПРСР 2014 - 2020 г.</c:v>
                </c:pt>
                <c:pt idx="1">
                  <c:v>ОПИК 2014 – 2020 г.</c:v>
                </c:pt>
                <c:pt idx="2">
                  <c:v>ОПРЧР 2014 – 2020 г.</c:v>
                </c:pt>
                <c:pt idx="3">
                  <c:v>ОПНОИР 2014 – 2020 г. </c:v>
                </c:pt>
                <c:pt idx="4">
                  <c:v>ОПОС 2014 – 2020 г.</c:v>
                </c:pt>
              </c:strCache>
            </c:strRef>
          </c:cat>
          <c:val>
            <c:numRef>
              <c:f>'възстановяване средства'!$C$3:$C$7</c:f>
              <c:numCache>
                <c:formatCode>0.00%</c:formatCode>
                <c:ptCount val="5"/>
                <c:pt idx="0">
                  <c:v>0.159</c:v>
                </c:pt>
                <c:pt idx="1">
                  <c:v>0.4783</c:v>
                </c:pt>
                <c:pt idx="2">
                  <c:v>0.51839999999999997</c:v>
                </c:pt>
                <c:pt idx="3">
                  <c:v>0.2208</c:v>
                </c:pt>
                <c:pt idx="4">
                  <c:v>0.29780000000000001</c:v>
                </c:pt>
              </c:numCache>
            </c:numRef>
          </c:val>
          <c:extLst xmlns:c16r2="http://schemas.microsoft.com/office/drawing/2015/06/chart">
            <c:ext xmlns:c16="http://schemas.microsoft.com/office/drawing/2014/chart" uri="{C3380CC4-5D6E-409C-BE32-E72D297353CC}">
              <c16:uniqueId val="{00000000-1340-4508-B3DC-0DD24322BD77}"/>
            </c:ext>
          </c:extLst>
        </c:ser>
        <c:dLbls>
          <c:showLegendKey val="0"/>
          <c:showVal val="0"/>
          <c:showCatName val="0"/>
          <c:showSerName val="0"/>
          <c:showPercent val="0"/>
          <c:showBubbleSize val="0"/>
        </c:dLbls>
        <c:gapWidth val="150"/>
        <c:axId val="156259840"/>
        <c:axId val="155065088"/>
      </c:barChart>
      <c:catAx>
        <c:axId val="156259840"/>
        <c:scaling>
          <c:orientation val="minMax"/>
        </c:scaling>
        <c:delete val="0"/>
        <c:axPos val="b"/>
        <c:numFmt formatCode="General" sourceLinked="0"/>
        <c:majorTickMark val="out"/>
        <c:minorTickMark val="none"/>
        <c:tickLblPos val="nextTo"/>
        <c:crossAx val="155065088"/>
        <c:crosses val="autoZero"/>
        <c:auto val="1"/>
        <c:lblAlgn val="ctr"/>
        <c:lblOffset val="100"/>
        <c:noMultiLvlLbl val="0"/>
      </c:catAx>
      <c:valAx>
        <c:axId val="155065088"/>
        <c:scaling>
          <c:orientation val="minMax"/>
        </c:scaling>
        <c:delete val="0"/>
        <c:axPos val="l"/>
        <c:majorGridlines/>
        <c:numFmt formatCode="0.00%" sourceLinked="1"/>
        <c:majorTickMark val="out"/>
        <c:minorTickMark val="none"/>
        <c:tickLblPos val="nextTo"/>
        <c:crossAx val="156259840"/>
        <c:crosses val="autoZero"/>
        <c:crossBetween val="between"/>
      </c:valAx>
    </c:plotArea>
    <c:plotVisOnly val="1"/>
    <c:dispBlanksAs val="gap"/>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dLbls>
            <c:dLbl>
              <c:idx val="0"/>
              <c:layout>
                <c:manualLayout>
                  <c:x val="-2.7777777777777779E-3"/>
                  <c:y val="1.8518518518518517E-2"/>
                </c:manualLayout>
              </c:layout>
              <c:tx>
                <c:rich>
                  <a:bodyPr/>
                  <a:lstStyle/>
                  <a:p>
                    <a:r>
                      <a:rPr lang="bg-BG"/>
                      <a:t> 59</a:t>
                    </a:r>
                    <a:r>
                      <a:rPr lang="bg-BG" baseline="0"/>
                      <a:t> </a:t>
                    </a:r>
                    <a:r>
                      <a:rPr lang="bg-BG"/>
                      <a:t>384 270,02 лв. </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546F-4CA6-9CFB-878AEE1F6FDD}"/>
                </c:ext>
              </c:extLst>
            </c:dLbl>
            <c:dLbl>
              <c:idx val="1"/>
              <c:layout>
                <c:manualLayout>
                  <c:x val="-2.7777777777777779E-3"/>
                  <c:y val="1.3888888888888846E-2"/>
                </c:manualLayout>
              </c:layout>
              <c:tx>
                <c:rich>
                  <a:bodyPr/>
                  <a:lstStyle/>
                  <a:p>
                    <a:r>
                      <a:rPr lang="bg-BG"/>
                      <a:t> 29</a:t>
                    </a:r>
                    <a:r>
                      <a:rPr lang="bg-BG" baseline="0"/>
                      <a:t> </a:t>
                    </a:r>
                    <a:r>
                      <a:rPr lang="bg-BG"/>
                      <a:t>406 331,67 лв. </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546F-4CA6-9CFB-878AEE1F6FDD}"/>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'дейности миг'!$A$17:$A$18</c:f>
              <c:strCache>
                <c:ptCount val="2"/>
                <c:pt idx="0">
                  <c:v>средства, договорени към МИГ</c:v>
                </c:pt>
                <c:pt idx="1">
                  <c:v>средства, разплатени от ДФЗ</c:v>
                </c:pt>
              </c:strCache>
            </c:strRef>
          </c:cat>
          <c:val>
            <c:numRef>
              <c:f>'дейности миг'!$B$17:$B$18</c:f>
              <c:numCache>
                <c:formatCode>_-* #,##0.00\ [$лв.-402]_-;\-* #,##0.00\ [$лв.-402]_-;_-* "-"??\ [$лв.-402]_-;_-@_-</c:formatCode>
                <c:ptCount val="2"/>
                <c:pt idx="0">
                  <c:v>59384270.020000003</c:v>
                </c:pt>
                <c:pt idx="1">
                  <c:v>29406331.669999998</c:v>
                </c:pt>
              </c:numCache>
            </c:numRef>
          </c:val>
          <c:extLst xmlns:c16r2="http://schemas.microsoft.com/office/drawing/2015/06/chart">
            <c:ext xmlns:c16="http://schemas.microsoft.com/office/drawing/2014/chart" uri="{C3380CC4-5D6E-409C-BE32-E72D297353CC}">
              <c16:uniqueId val="{00000002-546F-4CA6-9CFB-878AEE1F6FDD}"/>
            </c:ext>
          </c:extLst>
        </c:ser>
        <c:dLbls>
          <c:showLegendKey val="0"/>
          <c:showVal val="0"/>
          <c:showCatName val="0"/>
          <c:showSerName val="0"/>
          <c:showPercent val="0"/>
          <c:showBubbleSize val="0"/>
        </c:dLbls>
        <c:gapWidth val="420"/>
        <c:overlap val="52"/>
        <c:axId val="199047168"/>
        <c:axId val="156779072"/>
      </c:barChart>
      <c:catAx>
        <c:axId val="199047168"/>
        <c:scaling>
          <c:orientation val="minMax"/>
        </c:scaling>
        <c:delete val="0"/>
        <c:axPos val="b"/>
        <c:numFmt formatCode="General" sourceLinked="0"/>
        <c:majorTickMark val="out"/>
        <c:minorTickMark val="none"/>
        <c:tickLblPos val="nextTo"/>
        <c:crossAx val="156779072"/>
        <c:crosses val="autoZero"/>
        <c:auto val="1"/>
        <c:lblAlgn val="ctr"/>
        <c:lblOffset val="100"/>
        <c:noMultiLvlLbl val="0"/>
      </c:catAx>
      <c:valAx>
        <c:axId val="156779072"/>
        <c:scaling>
          <c:orientation val="minMax"/>
        </c:scaling>
        <c:delete val="0"/>
        <c:axPos val="l"/>
        <c:majorGridlines/>
        <c:numFmt formatCode="_-* #,##0.00\ [$лв.-402]_-;\-* #,##0.00\ [$лв.-402]_-;_-* &quot;-&quot;??\ [$лв.-402]_-;_-@_-" sourceLinked="1"/>
        <c:majorTickMark val="out"/>
        <c:minorTickMark val="none"/>
        <c:tickLblPos val="nextTo"/>
        <c:crossAx val="199047168"/>
        <c:crosses val="autoZero"/>
        <c:crossBetween val="between"/>
      </c:valAx>
    </c:plotArea>
    <c:plotVisOnly val="1"/>
    <c:dispBlanksAs val="gap"/>
    <c:showDLblsOverMax val="0"/>
  </c:chart>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'дейности миг'!$A$6:$A$11</c:f>
              <c:strCache>
                <c:ptCount val="6"/>
                <c:pt idx="0">
                  <c:v>еднодневно обучение за най-малко 10 участника</c:v>
                </c:pt>
                <c:pt idx="1">
                  <c:v>еднодневно обучение за най-малко 20 участника</c:v>
                </c:pt>
                <c:pt idx="2">
                  <c:v>еднодневна информационна среща/семинар за най-малко 20 участника</c:v>
                </c:pt>
                <c:pt idx="3">
                  <c:v>еднодневна работна среща за най-малко 10 участника</c:v>
                </c:pt>
                <c:pt idx="4">
                  <c:v>еднодневна информационна конференция за най-малко 50 участника</c:v>
                </c:pt>
                <c:pt idx="5">
                  <c:v>консултации</c:v>
                </c:pt>
              </c:strCache>
            </c:strRef>
          </c:cat>
          <c:val>
            <c:numRef>
              <c:f>'дейности миг'!$B$6:$B$11</c:f>
              <c:numCache>
                <c:formatCode>General</c:formatCode>
                <c:ptCount val="6"/>
                <c:pt idx="0">
                  <c:v>720</c:v>
                </c:pt>
                <c:pt idx="1">
                  <c:v>307</c:v>
                </c:pt>
                <c:pt idx="2">
                  <c:v>434</c:v>
                </c:pt>
                <c:pt idx="3">
                  <c:v>1022</c:v>
                </c:pt>
                <c:pt idx="4">
                  <c:v>75</c:v>
                </c:pt>
                <c:pt idx="5">
                  <c:v>9115</c:v>
                </c:pt>
              </c:numCache>
            </c:numRef>
          </c:val>
          <c:extLst xmlns:c16r2="http://schemas.microsoft.com/office/drawing/2015/06/chart">
            <c:ext xmlns:c16="http://schemas.microsoft.com/office/drawing/2014/chart" uri="{C3380CC4-5D6E-409C-BE32-E72D297353CC}">
              <c16:uniqueId val="{00000000-7B0B-43E2-9115-F52E04C308B8}"/>
            </c:ext>
          </c:extLst>
        </c:ser>
        <c:dLbls>
          <c:showLegendKey val="0"/>
          <c:showVal val="0"/>
          <c:showCatName val="0"/>
          <c:showSerName val="0"/>
          <c:showPercent val="0"/>
          <c:showBubbleSize val="0"/>
        </c:dLbls>
        <c:gapWidth val="150"/>
        <c:axId val="199048704"/>
        <c:axId val="156780800"/>
      </c:barChart>
      <c:catAx>
        <c:axId val="199048704"/>
        <c:scaling>
          <c:orientation val="maxMin"/>
        </c:scaling>
        <c:delete val="0"/>
        <c:axPos val="l"/>
        <c:numFmt formatCode="General" sourceLinked="0"/>
        <c:majorTickMark val="out"/>
        <c:minorTickMark val="none"/>
        <c:tickLblPos val="nextTo"/>
        <c:crossAx val="156780800"/>
        <c:crosses val="autoZero"/>
        <c:auto val="1"/>
        <c:lblAlgn val="ctr"/>
        <c:lblOffset val="100"/>
        <c:noMultiLvlLbl val="0"/>
      </c:catAx>
      <c:valAx>
        <c:axId val="156780800"/>
        <c:scaling>
          <c:orientation val="minMax"/>
        </c:scaling>
        <c:delete val="0"/>
        <c:axPos val="t"/>
        <c:majorGridlines/>
        <c:numFmt formatCode="General" sourceLinked="1"/>
        <c:majorTickMark val="out"/>
        <c:minorTickMark val="none"/>
        <c:tickLblPos val="nextTo"/>
        <c:crossAx val="199048704"/>
        <c:crosses val="autoZero"/>
        <c:crossBetween val="between"/>
      </c:valAx>
    </c:plotArea>
    <c:plotVisOnly val="1"/>
    <c:dispBlanksAs val="gap"/>
    <c:showDLblsOverMax val="0"/>
  </c:chart>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24"/>
    </mc:Choice>
    <mc:Fallback>
      <c:style val="24"/>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9.5606598397998177E-2"/>
          <c:y val="0.42790534798234742"/>
          <c:w val="0.76645221107083539"/>
          <c:h val="0.53055507889933051"/>
        </c:manualLayout>
      </c:layout>
      <c:pie3DChart>
        <c:varyColors val="1"/>
        <c:ser>
          <c:idx val="0"/>
          <c:order val="0"/>
          <c:explosion val="25"/>
          <c:dLbls>
            <c:spPr>
              <a:noFill/>
              <a:ln>
                <a:noFill/>
              </a:ln>
              <a:effectLst/>
            </c:sp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15:layout/>
              </c:ext>
            </c:extLst>
          </c:dLbls>
          <c:cat>
            <c:strRef>
              <c:f>индикатори!$A$19:$A$22</c:f>
              <c:strCache>
                <c:ptCount val="4"/>
                <c:pt idx="0">
                  <c:v>Индикатори, свързани с договаряне и изпълнение на проекти, подкрепени бенефициенти, изплатени средства и население, ползващо резултатите от реализираните дейности по СВОМР</c:v>
                </c:pt>
                <c:pt idx="1">
                  <c:v>Индикатори, свързани с брой подадени заявления и одобрени от МИГ заявления</c:v>
                </c:pt>
                <c:pt idx="2">
                  <c:v>Индикатори, свързани с извършени дейности по обучение, консултация и информиране на потенциалните кандидати към СВОМР, както и други дейности по подмярка 19.4</c:v>
                </c:pt>
                <c:pt idx="3">
                  <c:v>Индикатори, по които няма изпълнение</c:v>
                </c:pt>
              </c:strCache>
            </c:strRef>
          </c:cat>
          <c:val>
            <c:numRef>
              <c:f>индикатори!$C$19:$C$22</c:f>
              <c:numCache>
                <c:formatCode>0.00%</c:formatCode>
                <c:ptCount val="4"/>
                <c:pt idx="0">
                  <c:v>0.56621004566210043</c:v>
                </c:pt>
                <c:pt idx="1">
                  <c:v>0.10319634703196347</c:v>
                </c:pt>
                <c:pt idx="2">
                  <c:v>8.6757990867579904E-2</c:v>
                </c:pt>
                <c:pt idx="3">
                  <c:v>0.24383561643835616</c:v>
                </c:pt>
              </c:numCache>
            </c:numRef>
          </c:val>
          <c:extLst xmlns:c16r2="http://schemas.microsoft.com/office/drawing/2015/06/chart">
            <c:ext xmlns:c16="http://schemas.microsoft.com/office/drawing/2014/chart" uri="{C3380CC4-5D6E-409C-BE32-E72D297353CC}">
              <c16:uniqueId val="{00000000-2FCD-4AB4-9780-F286C77818EE}"/>
            </c:ext>
          </c:extLst>
        </c:ser>
        <c:dLbls>
          <c:showLegendKey val="0"/>
          <c:showVal val="0"/>
          <c:showCatName val="0"/>
          <c:showSerName val="0"/>
          <c:showPercent val="1"/>
          <c:showBubbleSize val="0"/>
          <c:showLeaderLines val="1"/>
        </c:dLbls>
      </c:pie3DChart>
    </c:plotArea>
    <c:legend>
      <c:legendPos val="t"/>
      <c:overlay val="0"/>
    </c:legend>
    <c:plotVisOnly val="1"/>
    <c:dispBlanksAs val="gap"/>
    <c:showDLblsOverMax val="0"/>
  </c:chart>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24"/>
    </mc:Choice>
    <mc:Fallback>
      <c:style val="24"/>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pPr>
              <a:noFill/>
              <a:ln>
                <a:noFill/>
              </a:ln>
              <a:effectLst/>
            </c:sp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15:layout/>
              </c:ext>
            </c:extLst>
          </c:dLbls>
          <c:cat>
            <c:strRef>
              <c:f>индикатори!$A$3:$A$4</c:f>
              <c:strCache>
                <c:ptCount val="2"/>
                <c:pt idx="0">
                  <c:v>индикатори, които има изпълнение</c:v>
                </c:pt>
                <c:pt idx="1">
                  <c:v>индикатори, по които няма изпълнение</c:v>
                </c:pt>
              </c:strCache>
            </c:strRef>
          </c:cat>
          <c:val>
            <c:numRef>
              <c:f>индикатори!$B$3:$B$4</c:f>
              <c:numCache>
                <c:formatCode>0.00%</c:formatCode>
                <c:ptCount val="2"/>
                <c:pt idx="0">
                  <c:v>0.75619999999999998</c:v>
                </c:pt>
                <c:pt idx="1">
                  <c:v>0.24379999999999999</c:v>
                </c:pt>
              </c:numCache>
            </c:numRef>
          </c:val>
          <c:extLst xmlns:c16r2="http://schemas.microsoft.com/office/drawing/2015/06/chart">
            <c:ext xmlns:c16="http://schemas.microsoft.com/office/drawing/2014/chart" uri="{C3380CC4-5D6E-409C-BE32-E72D297353CC}">
              <c16:uniqueId val="{00000000-6AC9-425F-8C95-5780EC307C31}"/>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24"/>
    </mc:Choice>
    <mc:Fallback>
      <c:style val="24"/>
    </mc:Fallback>
  </mc:AlternateContent>
  <c:chart>
    <c:autoTitleDeleted val="0"/>
    <c:plotArea>
      <c:layout/>
      <c:barChart>
        <c:barDir val="bar"/>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Sheet1!$N$2:$N$65</c:f>
              <c:strCache>
                <c:ptCount val="64"/>
                <c:pt idx="0">
                  <c:v>МИГ "Исперих"</c:v>
                </c:pt>
                <c:pt idx="1">
                  <c:v>МИГ "Разлог"</c:v>
                </c:pt>
                <c:pt idx="2">
                  <c:v>МИГ "Тутракан - Сливо поле"</c:v>
                </c:pt>
                <c:pt idx="3">
                  <c:v>МИГ "Стралджа 2016"</c:v>
                </c:pt>
                <c:pt idx="4">
                  <c:v>МИГ "Завет - Кубрат"</c:v>
                </c:pt>
                <c:pt idx="5">
                  <c:v>МИГ "Тервел - Крушари"</c:v>
                </c:pt>
                <c:pt idx="6">
                  <c:v>МИГ "Общини Минерални бани и Черноочене"</c:v>
                </c:pt>
                <c:pt idx="7">
                  <c:v>МИГ "Харманли"</c:v>
                </c:pt>
                <c:pt idx="8">
                  <c:v>МИГ "Долна Митрополия - Долни Дъбник"</c:v>
                </c:pt>
                <c:pt idx="9">
                  <c:v>МИГ "Перущица - Родопи"</c:v>
                </c:pt>
                <c:pt idx="10">
                  <c:v>МИГ "Стамболово-Кърджали 54"</c:v>
                </c:pt>
                <c:pt idx="11">
                  <c:v>МИГ "Куклен-Асеновград"</c:v>
                </c:pt>
                <c:pt idx="12">
                  <c:v>МИГ Яблаланица Правец</c:v>
                </c:pt>
                <c:pt idx="13">
                  <c:v>МИГ „Високи Западни Родопи-Борино-Доспат-Сърница”</c:v>
                </c:pt>
                <c:pt idx="14">
                  <c:v>МИГ "Възход - Ветрино, Вълчи дол, Провадия"</c:v>
                </c:pt>
                <c:pt idx="15">
                  <c:v>МИГ "Гълъбово - Опан"</c:v>
                </c:pt>
                <c:pt idx="16">
                  <c:v>МИГ "Дряново - Трявна - в сърцето на Балкана"</c:v>
                </c:pt>
                <c:pt idx="17">
                  <c:v>МИГ "Добричка"</c:v>
                </c:pt>
                <c:pt idx="18">
                  <c:v>МИГ "Любимец - Ивайловград"</c:v>
                </c:pt>
                <c:pt idx="19">
                  <c:v>МИГ "Попово"</c:v>
                </c:pt>
                <c:pt idx="20">
                  <c:v>МИГ "Нови пазар - 
Каспичан"</c:v>
                </c:pt>
                <c:pt idx="21">
                  <c:v>МИГ "Поморие"</c:v>
                </c:pt>
                <c:pt idx="22">
                  <c:v>МИГ "Свиленград ареал"</c:v>
                </c:pt>
                <c:pt idx="23">
                  <c:v>МИГ "Лясковец-Стражица"</c:v>
                </c:pt>
                <c:pt idx="24">
                  <c:v>МИГ "Общини Елена и Златарица"</c:v>
                </c:pt>
                <c:pt idx="25">
                  <c:v>МИГ "Павликени-
Полски Тръмбеш "</c:v>
                </c:pt>
                <c:pt idx="26">
                  <c:v>МИГ "Карлуковски карст - Червен бряг - Искър"</c:v>
                </c:pt>
                <c:pt idx="27">
                  <c:v>МИГ "Сливница - Драгоман"</c:v>
                </c:pt>
                <c:pt idx="28">
                  <c:v>МИГ "Девня-Аксаково"</c:v>
                </c:pt>
                <c:pt idx="29">
                  <c:v>МИГ „Общини Момчилград и Крумовград“</c:v>
                </c:pt>
                <c:pt idx="30">
                  <c:v>МИГ "Радомир-Земен"</c:v>
                </c:pt>
                <c:pt idx="31">
                  <c:v>МИГ "Сандански"</c:v>
                </c:pt>
                <c:pt idx="32">
                  <c:v>МИГ "Чирпан"</c:v>
                </c:pt>
                <c:pt idx="33">
                  <c:v>МИГ "Тунджа"</c:v>
                </c:pt>
                <c:pt idx="34">
                  <c:v>МИГ "Айтос" </c:v>
                </c:pt>
                <c:pt idx="35">
                  <c:v>МИГ "Аврен-Белослав"</c:v>
                </c:pt>
                <c:pt idx="36">
                  <c:v>МИГ "Костинброд-Своге"</c:v>
                </c:pt>
                <c:pt idx="37">
                  <c:v>МИГ "Средец"</c:v>
                </c:pt>
                <c:pt idx="38">
                  <c:v>МИГ "Раковски"</c:v>
                </c:pt>
                <c:pt idx="39">
                  <c:v>МИГ "Берковица и Годеч"</c:v>
                </c:pt>
                <c:pt idx="40">
                  <c:v>МИГ "Долни чифлик и Бяла"</c:v>
                </c:pt>
                <c:pt idx="41">
                  <c:v>МИГ "Луковит-Роман"</c:v>
                </c:pt>
                <c:pt idx="42">
                  <c:v>МИГ "Белене-Никопол"</c:v>
                </c:pt>
                <c:pt idx="43">
                  <c:v>МИГ "Ардино - Джебел" </c:v>
                </c:pt>
                <c:pt idx="44">
                  <c:v>МИГ "Троян, Априлци, Угърчин"</c:v>
                </c:pt>
                <c:pt idx="45">
                  <c:v>МИГ "Нова Загора"</c:v>
                </c:pt>
                <c:pt idx="46">
                  <c:v>МИГ "Елхово-Болярово"</c:v>
                </c:pt>
                <c:pt idx="47">
                  <c:v>МИГ "Лом"</c:v>
                </c:pt>
                <c:pt idx="48">
                  <c:v>МИГ "Кирково - Златоград"</c:v>
                </c:pt>
                <c:pt idx="49">
                  <c:v>МИГ "Преспа-общини Баните, Лъки и Чепеларе"</c:v>
                </c:pt>
                <c:pt idx="50">
                  <c:v>МИГ "Панагюрище, Стрелча, Лесичово"</c:v>
                </c:pt>
                <c:pt idx="51">
                  <c:v>МИГ "Баличк - Генерал Тошево"</c:v>
                </c:pt>
                <c:pt idx="52">
                  <c:v>МИГ "Главиница-Ситово Крайдунавска Добруджа"</c:v>
                </c:pt>
                <c:pt idx="53">
                  <c:v>МИГ "Мъклиж, Казанлък, Гурково"</c:v>
                </c:pt>
                <c:pt idx="54">
                  <c:v>МИГ "Брезово, Братя Даскалови"</c:v>
                </c:pt>
                <c:pt idx="55">
                  <c:v>МИГ "Гоце Делчев - Гърмен - Хаджидимово"</c:v>
                </c:pt>
                <c:pt idx="56">
                  <c:v>МИГ "Община Марица"</c:v>
                </c:pt>
                <c:pt idx="57">
                  <c:v>МИГ "Костенец 2010"</c:v>
                </c:pt>
                <c:pt idx="58">
                  <c:v>МИГ "Белово, Септември, Велинград"</c:v>
                </c:pt>
                <c:pt idx="59">
                  <c:v>МИГ "Хисаря"</c:v>
                </c:pt>
                <c:pt idx="60">
                  <c:v>МИГ "Бяла Слатина" </c:v>
                </c:pt>
                <c:pt idx="61">
                  <c:v>МИГ "Самоков"</c:v>
                </c:pt>
                <c:pt idx="62">
                  <c:v>МИГ "Струма -Симитли, Кресна и Струмяни"</c:v>
                </c:pt>
                <c:pt idx="63">
                  <c:v>МИГ "Котел, Сунгурларе и Върбица"</c:v>
                </c:pt>
              </c:strCache>
            </c:strRef>
          </c:cat>
          <c:val>
            <c:numRef>
              <c:f>Sheet1!$O$2:$O$65</c:f>
              <c:numCache>
                <c:formatCode>General</c:formatCode>
                <c:ptCount val="64"/>
                <c:pt idx="0">
                  <c:v>31</c:v>
                </c:pt>
                <c:pt idx="1">
                  <c:v>56</c:v>
                </c:pt>
                <c:pt idx="2">
                  <c:v>42</c:v>
                </c:pt>
                <c:pt idx="3">
                  <c:v>33</c:v>
                </c:pt>
                <c:pt idx="4">
                  <c:v>52</c:v>
                </c:pt>
                <c:pt idx="5">
                  <c:v>32</c:v>
                </c:pt>
                <c:pt idx="6">
                  <c:v>32</c:v>
                </c:pt>
                <c:pt idx="7">
                  <c:v>31</c:v>
                </c:pt>
                <c:pt idx="8">
                  <c:v>43</c:v>
                </c:pt>
                <c:pt idx="9">
                  <c:v>26</c:v>
                </c:pt>
                <c:pt idx="10">
                  <c:v>32</c:v>
                </c:pt>
                <c:pt idx="11">
                  <c:v>37</c:v>
                </c:pt>
                <c:pt idx="12">
                  <c:v>31</c:v>
                </c:pt>
                <c:pt idx="13">
                  <c:v>45</c:v>
                </c:pt>
                <c:pt idx="14">
                  <c:v>65</c:v>
                </c:pt>
                <c:pt idx="15">
                  <c:v>31</c:v>
                </c:pt>
                <c:pt idx="16">
                  <c:v>43</c:v>
                </c:pt>
                <c:pt idx="17">
                  <c:v>49</c:v>
                </c:pt>
                <c:pt idx="18">
                  <c:v>11</c:v>
                </c:pt>
                <c:pt idx="19">
                  <c:v>36</c:v>
                </c:pt>
                <c:pt idx="20">
                  <c:v>42</c:v>
                </c:pt>
                <c:pt idx="21">
                  <c:v>15</c:v>
                </c:pt>
                <c:pt idx="22">
                  <c:v>15</c:v>
                </c:pt>
                <c:pt idx="23">
                  <c:v>60</c:v>
                </c:pt>
                <c:pt idx="24">
                  <c:v>31</c:v>
                </c:pt>
                <c:pt idx="25">
                  <c:v>35</c:v>
                </c:pt>
                <c:pt idx="26">
                  <c:v>32</c:v>
                </c:pt>
                <c:pt idx="27">
                  <c:v>42</c:v>
                </c:pt>
                <c:pt idx="28">
                  <c:v>38</c:v>
                </c:pt>
                <c:pt idx="29">
                  <c:v>100</c:v>
                </c:pt>
                <c:pt idx="30">
                  <c:v>51</c:v>
                </c:pt>
                <c:pt idx="31">
                  <c:v>87</c:v>
                </c:pt>
                <c:pt idx="32">
                  <c:v>31</c:v>
                </c:pt>
                <c:pt idx="33">
                  <c:v>37</c:v>
                </c:pt>
                <c:pt idx="34">
                  <c:v>37</c:v>
                </c:pt>
                <c:pt idx="35">
                  <c:v>38</c:v>
                </c:pt>
                <c:pt idx="36">
                  <c:v>32</c:v>
                </c:pt>
                <c:pt idx="37">
                  <c:v>33</c:v>
                </c:pt>
                <c:pt idx="38">
                  <c:v>35</c:v>
                </c:pt>
                <c:pt idx="39">
                  <c:v>98</c:v>
                </c:pt>
                <c:pt idx="40">
                  <c:v>36</c:v>
                </c:pt>
                <c:pt idx="41">
                  <c:v>37</c:v>
                </c:pt>
                <c:pt idx="42">
                  <c:v>32</c:v>
                </c:pt>
                <c:pt idx="43">
                  <c:v>112</c:v>
                </c:pt>
                <c:pt idx="44">
                  <c:v>58</c:v>
                </c:pt>
                <c:pt idx="45">
                  <c:v>31</c:v>
                </c:pt>
                <c:pt idx="46">
                  <c:v>48</c:v>
                </c:pt>
                <c:pt idx="47">
                  <c:v>33</c:v>
                </c:pt>
                <c:pt idx="48">
                  <c:v>36</c:v>
                </c:pt>
                <c:pt idx="49">
                  <c:v>44</c:v>
                </c:pt>
                <c:pt idx="50">
                  <c:v>49</c:v>
                </c:pt>
                <c:pt idx="51">
                  <c:v>53</c:v>
                </c:pt>
                <c:pt idx="52">
                  <c:v>35</c:v>
                </c:pt>
                <c:pt idx="53">
                  <c:v>39</c:v>
                </c:pt>
                <c:pt idx="54">
                  <c:v>45</c:v>
                </c:pt>
                <c:pt idx="55">
                  <c:v>54</c:v>
                </c:pt>
                <c:pt idx="56">
                  <c:v>47</c:v>
                </c:pt>
                <c:pt idx="57">
                  <c:v>46</c:v>
                </c:pt>
                <c:pt idx="58">
                  <c:v>82</c:v>
                </c:pt>
                <c:pt idx="59">
                  <c:v>36</c:v>
                </c:pt>
                <c:pt idx="60">
                  <c:v>37</c:v>
                </c:pt>
                <c:pt idx="61">
                  <c:v>47</c:v>
                </c:pt>
                <c:pt idx="62">
                  <c:v>33</c:v>
                </c:pt>
                <c:pt idx="63">
                  <c:v>42</c:v>
                </c:pt>
              </c:numCache>
            </c:numRef>
          </c:val>
          <c:extLst xmlns:c16r2="http://schemas.microsoft.com/office/drawing/2015/06/chart">
            <c:ext xmlns:c16="http://schemas.microsoft.com/office/drawing/2014/chart" uri="{C3380CC4-5D6E-409C-BE32-E72D297353CC}">
              <c16:uniqueId val="{00000000-3545-45A3-B3DE-88FE6883DFAC}"/>
            </c:ext>
          </c:extLst>
        </c:ser>
        <c:dLbls>
          <c:showLegendKey val="0"/>
          <c:showVal val="0"/>
          <c:showCatName val="0"/>
          <c:showSerName val="0"/>
          <c:showPercent val="0"/>
          <c:showBubbleSize val="0"/>
        </c:dLbls>
        <c:gapWidth val="150"/>
        <c:axId val="291685888"/>
        <c:axId val="156784832"/>
      </c:barChart>
      <c:catAx>
        <c:axId val="291685888"/>
        <c:scaling>
          <c:orientation val="maxMin"/>
        </c:scaling>
        <c:delete val="0"/>
        <c:axPos val="l"/>
        <c:numFmt formatCode="General" sourceLinked="0"/>
        <c:majorTickMark val="out"/>
        <c:minorTickMark val="none"/>
        <c:tickLblPos val="nextTo"/>
        <c:txPr>
          <a:bodyPr/>
          <a:lstStyle/>
          <a:p>
            <a:pPr>
              <a:defRPr sz="800" baseline="0"/>
            </a:pPr>
            <a:endParaRPr lang="it-IT"/>
          </a:p>
        </c:txPr>
        <c:crossAx val="156784832"/>
        <c:crosses val="autoZero"/>
        <c:auto val="1"/>
        <c:lblAlgn val="ctr"/>
        <c:lblOffset val="100"/>
        <c:noMultiLvlLbl val="0"/>
      </c:catAx>
      <c:valAx>
        <c:axId val="156784832"/>
        <c:scaling>
          <c:orientation val="minMax"/>
        </c:scaling>
        <c:delete val="0"/>
        <c:axPos val="t"/>
        <c:majorGridlines/>
        <c:numFmt formatCode="General" sourceLinked="1"/>
        <c:majorTickMark val="out"/>
        <c:minorTickMark val="none"/>
        <c:tickLblPos val="nextTo"/>
        <c:crossAx val="291685888"/>
        <c:crosses val="autoZero"/>
        <c:crossBetween val="between"/>
      </c:valAx>
    </c:plotArea>
    <c:plotVisOnly val="1"/>
    <c:dispBlanksAs val="gap"/>
    <c:showDLblsOverMax val="0"/>
  </c:chart>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24"/>
    </mc:Choice>
    <mc:Fallback>
      <c:style val="24"/>
    </mc:Fallback>
  </mc:AlternateContent>
  <c:chart>
    <c:title>
      <c:tx>
        <c:rich>
          <a:bodyPr/>
          <a:lstStyle/>
          <a:p>
            <a:pPr>
              <a:defRPr sz="1200" baseline="0"/>
            </a:pPr>
            <a:r>
              <a:rPr lang="bg-BG" sz="1200" baseline="0">
                <a:latin typeface="Times New Roman" pitchFamily="18" charset="0"/>
                <a:cs typeface="Times New Roman" pitchFamily="18" charset="0"/>
              </a:rPr>
              <a:t>Разпределение на секторите в ОС на МИГ</a:t>
            </a:r>
            <a:endParaRPr lang="en-GB" sz="1200" baseline="0">
              <a:latin typeface="Times New Roman" pitchFamily="18" charset="0"/>
              <a:cs typeface="Times New Roman" pitchFamily="18" charset="0"/>
            </a:endParaRPr>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9.3055453174736139E-2"/>
          <c:y val="0.33171590864574763"/>
          <c:w val="0.81388888888888888"/>
          <c:h val="0.60711804641441092"/>
        </c:manualLayout>
      </c:layout>
      <c:pie3DChart>
        <c:varyColors val="1"/>
        <c:ser>
          <c:idx val="0"/>
          <c:order val="0"/>
          <c:explosion val="25"/>
          <c:dLbls>
            <c:numFmt formatCode="0.00%" sourceLinked="0"/>
            <c:spPr>
              <a:noFill/>
              <a:ln>
                <a:noFill/>
              </a:ln>
              <a:effectLst/>
            </c:spPr>
            <c:txPr>
              <a:bodyPr/>
              <a:lstStyle/>
              <a:p>
                <a:pPr>
                  <a:defRPr baseline="0">
                    <a:latin typeface="Times New Roman" pitchFamily="18" charset="0"/>
                  </a:defRPr>
                </a:pPr>
                <a:endParaRPr lang="it-IT"/>
              </a:p>
            </c:txPr>
            <c:showLegendKey val="0"/>
            <c:showVal val="0"/>
            <c:showCatName val="1"/>
            <c:showSerName val="0"/>
            <c:showPercent val="1"/>
            <c:showBubbleSize val="0"/>
            <c:showLeaderLines val="1"/>
            <c:extLst xmlns:c16r2="http://schemas.microsoft.com/office/drawing/2015/06/chart">
              <c:ext xmlns:c15="http://schemas.microsoft.com/office/drawing/2012/chart" uri="{CE6537A1-D6FC-4f65-9D91-7224C49458BB}">
                <c15:layout/>
              </c:ext>
            </c:extLst>
          </c:dLbls>
          <c:cat>
            <c:strRef>
              <c:f>Sheet1!$A$3:$A$5</c:f>
              <c:strCache>
                <c:ptCount val="3"/>
                <c:pt idx="0">
                  <c:v>публичен сектор</c:v>
                </c:pt>
                <c:pt idx="1">
                  <c:v>стопански сектор</c:v>
                </c:pt>
                <c:pt idx="2">
                  <c:v>нестопански сектор</c:v>
                </c:pt>
              </c:strCache>
            </c:strRef>
          </c:cat>
          <c:val>
            <c:numRef>
              <c:f>Sheet1!$B$3:$B$5</c:f>
              <c:numCache>
                <c:formatCode>0.00%</c:formatCode>
                <c:ptCount val="3"/>
                <c:pt idx="0">
                  <c:v>6.4299999999999996E-2</c:v>
                </c:pt>
                <c:pt idx="1">
                  <c:v>0.46929999999999999</c:v>
                </c:pt>
                <c:pt idx="2">
                  <c:v>0.46639999999999998</c:v>
                </c:pt>
              </c:numCache>
            </c:numRef>
          </c:val>
          <c:extLst xmlns:c16r2="http://schemas.microsoft.com/office/drawing/2015/06/chart">
            <c:ext xmlns:c16="http://schemas.microsoft.com/office/drawing/2014/chart" uri="{C3380CC4-5D6E-409C-BE32-E72D297353CC}">
              <c16:uniqueId val="{00000000-0CA4-4D6A-9C6D-524E50581A69}"/>
            </c:ext>
          </c:extLst>
        </c:ser>
        <c:dLbls>
          <c:showLegendKey val="0"/>
          <c:showVal val="0"/>
          <c:showCatName val="1"/>
          <c:showSerName val="0"/>
          <c:showPercent val="1"/>
          <c:showBubbleSize val="0"/>
          <c:showLeaderLines val="1"/>
        </c:dLbls>
      </c:pie3DChart>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Pt>
            <c:idx val="0"/>
            <c:invertIfNegative val="0"/>
            <c:bubble3D val="0"/>
            <c:spPr>
              <a:solidFill>
                <a:srgbClr val="FFC000"/>
              </a:solidFill>
            </c:spPr>
            <c:extLst xmlns:c16r2="http://schemas.microsoft.com/office/drawing/2015/06/chart">
              <c:ext xmlns:c16="http://schemas.microsoft.com/office/drawing/2014/chart" uri="{C3380CC4-5D6E-409C-BE32-E72D297353CC}">
                <c16:uniqueId val="{00000001-0242-471A-933F-E2B7A30F7CD4}"/>
              </c:ext>
            </c:extLst>
          </c:dPt>
          <c:dPt>
            <c:idx val="1"/>
            <c:invertIfNegative val="0"/>
            <c:bubble3D val="0"/>
            <c:spPr>
              <a:gradFill>
                <a:gsLst>
                  <a:gs pos="35000">
                    <a:srgbClr val="FFC000"/>
                  </a:gs>
                  <a:gs pos="100000">
                    <a:srgbClr val="FE0002"/>
                  </a:gs>
                  <a:gs pos="100000">
                    <a:srgbClr val="FD0004"/>
                  </a:gs>
                  <a:gs pos="100000">
                    <a:srgbClr val="FA0008"/>
                  </a:gs>
                  <a:gs pos="100000">
                    <a:srgbClr val="F5000F"/>
                  </a:gs>
                  <a:gs pos="100000">
                    <a:srgbClr val="EB001E"/>
                  </a:gs>
                  <a:gs pos="100000">
                    <a:schemeClr val="tx2">
                      <a:lumMod val="60000"/>
                      <a:lumOff val="40000"/>
                    </a:schemeClr>
                  </a:gs>
                  <a:gs pos="100000">
                    <a:srgbClr val="BA0066"/>
                  </a:gs>
                  <a:gs pos="100000">
                    <a:srgbClr val="FF0000"/>
                  </a:gs>
                  <a:gs pos="100000">
                    <a:srgbClr val="FF8200"/>
                  </a:gs>
                </a:gsLst>
                <a:lin ang="5400000" scaled="0"/>
              </a:gradFill>
            </c:spPr>
            <c:extLst xmlns:c16r2="http://schemas.microsoft.com/office/drawing/2015/06/chart">
              <c:ext xmlns:c16="http://schemas.microsoft.com/office/drawing/2014/chart" uri="{C3380CC4-5D6E-409C-BE32-E72D297353CC}">
                <c16:uniqueId val="{00000003-0242-471A-933F-E2B7A30F7CD4}"/>
              </c:ext>
            </c:extLst>
          </c:dPt>
          <c:dPt>
            <c:idx val="2"/>
            <c:invertIfNegative val="0"/>
            <c:bubble3D val="0"/>
            <c:spPr>
              <a:gradFill>
                <a:gsLst>
                  <a:gs pos="10000">
                    <a:srgbClr val="FFC000"/>
                  </a:gs>
                  <a:gs pos="90000">
                    <a:srgbClr val="00B050"/>
                  </a:gs>
                  <a:gs pos="100000">
                    <a:srgbClr val="BA0066"/>
                  </a:gs>
                  <a:gs pos="100000">
                    <a:srgbClr val="FF0000"/>
                  </a:gs>
                  <a:gs pos="100000">
                    <a:srgbClr val="FF8200"/>
                  </a:gs>
                </a:gsLst>
                <a:lin ang="5400000" scaled="0"/>
              </a:gradFill>
            </c:spPr>
            <c:extLst xmlns:c16r2="http://schemas.microsoft.com/office/drawing/2015/06/chart">
              <c:ext xmlns:c16="http://schemas.microsoft.com/office/drawing/2014/chart" uri="{C3380CC4-5D6E-409C-BE32-E72D297353CC}">
                <c16:uniqueId val="{00000005-0242-471A-933F-E2B7A30F7CD4}"/>
              </c:ext>
            </c:extLst>
          </c:dPt>
          <c:dPt>
            <c:idx val="3"/>
            <c:invertIfNegative val="0"/>
            <c:bubble3D val="0"/>
            <c:spPr>
              <a:gradFill>
                <a:gsLst>
                  <a:gs pos="10000">
                    <a:srgbClr val="FFC000"/>
                  </a:gs>
                  <a:gs pos="50000">
                    <a:srgbClr val="0070C0"/>
                  </a:gs>
                  <a:gs pos="100000">
                    <a:srgbClr val="BA0066"/>
                  </a:gs>
                  <a:gs pos="100000">
                    <a:srgbClr val="FF0000"/>
                  </a:gs>
                  <a:gs pos="100000">
                    <a:srgbClr val="FF8200"/>
                  </a:gs>
                </a:gsLst>
                <a:lin ang="5400000" scaled="0"/>
              </a:gradFill>
            </c:spPr>
            <c:extLst xmlns:c16r2="http://schemas.microsoft.com/office/drawing/2015/06/chart">
              <c:ext xmlns:c16="http://schemas.microsoft.com/office/drawing/2014/chart" uri="{C3380CC4-5D6E-409C-BE32-E72D297353CC}">
                <c16:uniqueId val="{00000007-0242-471A-933F-E2B7A30F7CD4}"/>
              </c:ext>
            </c:extLst>
          </c:dPt>
          <c:dPt>
            <c:idx val="4"/>
            <c:invertIfNegative val="0"/>
            <c:bubble3D val="0"/>
            <c:spPr>
              <a:gradFill>
                <a:gsLst>
                  <a:gs pos="0">
                    <a:srgbClr val="FFC000"/>
                  </a:gs>
                  <a:gs pos="51000">
                    <a:srgbClr val="0070C0"/>
                  </a:gs>
                  <a:gs pos="100000">
                    <a:srgbClr val="FF0000"/>
                  </a:gs>
                  <a:gs pos="99000">
                    <a:srgbClr val="FF0000"/>
                  </a:gs>
                  <a:gs pos="100000">
                    <a:srgbClr val="FF8200"/>
                  </a:gs>
                </a:gsLst>
                <a:lin ang="5400000" scaled="0"/>
              </a:gradFill>
            </c:spPr>
            <c:extLst xmlns:c16r2="http://schemas.microsoft.com/office/drawing/2015/06/chart">
              <c:ext xmlns:c16="http://schemas.microsoft.com/office/drawing/2014/chart" uri="{C3380CC4-5D6E-409C-BE32-E72D297353CC}">
                <c16:uniqueId val="{00000009-0242-471A-933F-E2B7A30F7CD4}"/>
              </c:ext>
            </c:extLst>
          </c:dPt>
          <c:dPt>
            <c:idx val="5"/>
            <c:invertIfNegative val="0"/>
            <c:bubble3D val="0"/>
            <c:spPr>
              <a:gradFill>
                <a:gsLst>
                  <a:gs pos="0">
                    <a:srgbClr val="FFC000"/>
                  </a:gs>
                  <a:gs pos="51000">
                    <a:srgbClr val="0070C0"/>
                  </a:gs>
                  <a:gs pos="100000">
                    <a:srgbClr val="FF0000"/>
                  </a:gs>
                  <a:gs pos="99000">
                    <a:srgbClr val="FF0000"/>
                  </a:gs>
                  <a:gs pos="100000">
                    <a:srgbClr val="FF8200"/>
                  </a:gs>
                </a:gsLst>
                <a:lin ang="5400000" scaled="0"/>
              </a:gradFill>
            </c:spPr>
            <c:extLst xmlns:c16r2="http://schemas.microsoft.com/office/drawing/2015/06/chart">
              <c:ext xmlns:c16="http://schemas.microsoft.com/office/drawing/2014/chart" uri="{C3380CC4-5D6E-409C-BE32-E72D297353CC}">
                <c16:uniqueId val="{0000000B-0242-471A-933F-E2B7A30F7CD4}"/>
              </c:ext>
            </c:extLst>
          </c:dPt>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Sheet1!$B$42:$B$47</c:f>
              <c:strCache>
                <c:ptCount val="6"/>
                <c:pt idx="0">
                  <c:v>ПРСР</c:v>
                </c:pt>
                <c:pt idx="1">
                  <c:v>ПРСР + ОПРЧР</c:v>
                </c:pt>
                <c:pt idx="2">
                  <c:v>ПРСР + ОПИК</c:v>
                </c:pt>
                <c:pt idx="3">
                  <c:v>ПРСР + ОПОС + ОПИК</c:v>
                </c:pt>
                <c:pt idx="4">
                  <c:v>ПРСР + ОПРЧР + ОПИК</c:v>
                </c:pt>
                <c:pt idx="5">
                  <c:v>ПРСР + ОПОС + ОПРЧР + ОПИК</c:v>
                </c:pt>
              </c:strCache>
            </c:strRef>
          </c:cat>
          <c:val>
            <c:numRef>
              <c:f>Sheet1!$C$42:$C$47</c:f>
              <c:numCache>
                <c:formatCode>General</c:formatCode>
                <c:ptCount val="6"/>
                <c:pt idx="0">
                  <c:v>23</c:v>
                </c:pt>
                <c:pt idx="1">
                  <c:v>6</c:v>
                </c:pt>
                <c:pt idx="2">
                  <c:v>1</c:v>
                </c:pt>
                <c:pt idx="3">
                  <c:v>1</c:v>
                </c:pt>
                <c:pt idx="4">
                  <c:v>20</c:v>
                </c:pt>
                <c:pt idx="5">
                  <c:v>2</c:v>
                </c:pt>
              </c:numCache>
            </c:numRef>
          </c:val>
          <c:extLst xmlns:c16r2="http://schemas.microsoft.com/office/drawing/2015/06/chart">
            <c:ext xmlns:c16="http://schemas.microsoft.com/office/drawing/2014/chart" uri="{C3380CC4-5D6E-409C-BE32-E72D297353CC}">
              <c16:uniqueId val="{0000000C-0242-471A-933F-E2B7A30F7CD4}"/>
            </c:ext>
          </c:extLst>
        </c:ser>
        <c:dLbls>
          <c:showLegendKey val="0"/>
          <c:showVal val="0"/>
          <c:showCatName val="0"/>
          <c:showSerName val="0"/>
          <c:showPercent val="0"/>
          <c:showBubbleSize val="0"/>
        </c:dLbls>
        <c:gapWidth val="150"/>
        <c:shape val="cylinder"/>
        <c:axId val="155854848"/>
        <c:axId val="121143872"/>
        <c:axId val="0"/>
      </c:bar3DChart>
      <c:catAx>
        <c:axId val="155854848"/>
        <c:scaling>
          <c:orientation val="minMax"/>
        </c:scaling>
        <c:delete val="0"/>
        <c:axPos val="b"/>
        <c:numFmt formatCode="General" sourceLinked="0"/>
        <c:majorTickMark val="out"/>
        <c:minorTickMark val="none"/>
        <c:tickLblPos val="nextTo"/>
        <c:crossAx val="121143872"/>
        <c:crosses val="autoZero"/>
        <c:auto val="1"/>
        <c:lblAlgn val="ctr"/>
        <c:lblOffset val="100"/>
        <c:noMultiLvlLbl val="0"/>
      </c:catAx>
      <c:valAx>
        <c:axId val="121143872"/>
        <c:scaling>
          <c:orientation val="minMax"/>
        </c:scaling>
        <c:delete val="0"/>
        <c:axPos val="l"/>
        <c:majorGridlines/>
        <c:numFmt formatCode="General" sourceLinked="1"/>
        <c:majorTickMark val="out"/>
        <c:minorTickMark val="none"/>
        <c:tickLblPos val="nextTo"/>
        <c:crossAx val="155854848"/>
        <c:crosses val="autoZero"/>
        <c:crossBetween val="between"/>
      </c:valAx>
    </c:plotArea>
    <c:plotVisOnly val="1"/>
    <c:dispBlanksAs val="gap"/>
    <c:showDLblsOverMax val="0"/>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23"/>
    </mc:Choice>
    <mc:Fallback>
      <c:style val="23"/>
    </mc:Fallback>
  </mc:AlternateContent>
  <c:chart>
    <c:autoTitleDeleted val="0"/>
    <c:plotArea>
      <c:layout/>
      <c:barChart>
        <c:barDir val="bar"/>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Sheet1!$N$2:$N$65</c:f>
              <c:strCache>
                <c:ptCount val="64"/>
                <c:pt idx="0">
                  <c:v>МИГ "Исперих"</c:v>
                </c:pt>
                <c:pt idx="1">
                  <c:v>МИГ "Разлог"</c:v>
                </c:pt>
                <c:pt idx="2">
                  <c:v>МИГ "Тутракан - Сливо поле"</c:v>
                </c:pt>
                <c:pt idx="3">
                  <c:v>МИГ "Стралджа 2016"</c:v>
                </c:pt>
                <c:pt idx="4">
                  <c:v>МИГ "Завет - Кубрат"</c:v>
                </c:pt>
                <c:pt idx="5">
                  <c:v>МИГ "Тервел - Крушари"</c:v>
                </c:pt>
                <c:pt idx="6">
                  <c:v>МИГ "Общини Минерални бани и Черноочене"</c:v>
                </c:pt>
                <c:pt idx="7">
                  <c:v>МИГ "Харманли"</c:v>
                </c:pt>
                <c:pt idx="8">
                  <c:v>МИГ "Долна Митрополия - Долни Дъбник"</c:v>
                </c:pt>
                <c:pt idx="9">
                  <c:v>МИГ "Перущица - Родопи"</c:v>
                </c:pt>
                <c:pt idx="10">
                  <c:v>МИГ "Стамболово-Кърджали 54"</c:v>
                </c:pt>
                <c:pt idx="11">
                  <c:v>МИГ "Куклен-Асеновград"</c:v>
                </c:pt>
                <c:pt idx="12">
                  <c:v>МИГ Яблаланица Правец</c:v>
                </c:pt>
                <c:pt idx="13">
                  <c:v>МИГ „Високи Западни Родопи-Борино-Доспат-Сърница”</c:v>
                </c:pt>
                <c:pt idx="14">
                  <c:v>МИГ "Възход - Ветрино, Вълчи дол, Провадия"</c:v>
                </c:pt>
                <c:pt idx="15">
                  <c:v>МИГ "Гълъбово - Опан"</c:v>
                </c:pt>
                <c:pt idx="16">
                  <c:v>МИГ "Дряново - Трявна - в сърцето на Балкана"</c:v>
                </c:pt>
                <c:pt idx="17">
                  <c:v>МИГ "Добричка"</c:v>
                </c:pt>
                <c:pt idx="18">
                  <c:v>МИГ "Любимец - Ивайловград"</c:v>
                </c:pt>
                <c:pt idx="19">
                  <c:v>МИГ "Попово"</c:v>
                </c:pt>
                <c:pt idx="20">
                  <c:v>МИГ "Нови пазар - 
Каспичан"</c:v>
                </c:pt>
                <c:pt idx="21">
                  <c:v>МИГ "Поморие"</c:v>
                </c:pt>
                <c:pt idx="22">
                  <c:v>МИГ "Свиленград ареал"</c:v>
                </c:pt>
                <c:pt idx="23">
                  <c:v>МИГ "Лясковец-Стражица"</c:v>
                </c:pt>
                <c:pt idx="24">
                  <c:v>МИГ "Общини Елена и Златарица"</c:v>
                </c:pt>
                <c:pt idx="25">
                  <c:v>МИГ "Павликени-
Полски Тръмбеш "</c:v>
                </c:pt>
                <c:pt idx="26">
                  <c:v>МИГ "Карлуковски карст - Червен бряг - Искър"</c:v>
                </c:pt>
                <c:pt idx="27">
                  <c:v>МИГ "Сливница - Драгоман"</c:v>
                </c:pt>
                <c:pt idx="28">
                  <c:v>МИГ "Девня-Аксаково"</c:v>
                </c:pt>
                <c:pt idx="29">
                  <c:v>МИГ „Общини Момчилград и Крумовград“</c:v>
                </c:pt>
                <c:pt idx="30">
                  <c:v>МИГ "Радомир-Земен"</c:v>
                </c:pt>
                <c:pt idx="31">
                  <c:v>МИГ "Сандански"</c:v>
                </c:pt>
                <c:pt idx="32">
                  <c:v>МИГ "Чирпан"</c:v>
                </c:pt>
                <c:pt idx="33">
                  <c:v>МИГ "Тунджа"</c:v>
                </c:pt>
                <c:pt idx="34">
                  <c:v>МИГ "Айтос" </c:v>
                </c:pt>
                <c:pt idx="35">
                  <c:v>МИГ "Аврен-Белослав"</c:v>
                </c:pt>
                <c:pt idx="36">
                  <c:v>МИГ "Костинброд-Своге"</c:v>
                </c:pt>
                <c:pt idx="37">
                  <c:v>МИГ "Средец"</c:v>
                </c:pt>
                <c:pt idx="38">
                  <c:v>МИГ "Раковски"</c:v>
                </c:pt>
                <c:pt idx="39">
                  <c:v>МИГ "Берковица и Годеч"</c:v>
                </c:pt>
                <c:pt idx="40">
                  <c:v>МИГ "Долни чифлик и Бяла"</c:v>
                </c:pt>
                <c:pt idx="41">
                  <c:v>МИГ "Луковит-Роман"</c:v>
                </c:pt>
                <c:pt idx="42">
                  <c:v>МИГ "Белене-Никопол"</c:v>
                </c:pt>
                <c:pt idx="43">
                  <c:v>МИГ "Ардино - Джебел" </c:v>
                </c:pt>
                <c:pt idx="44">
                  <c:v>МИГ "Троян, Априлци, Угърчин"</c:v>
                </c:pt>
                <c:pt idx="45">
                  <c:v>МИГ "Нова Загора"</c:v>
                </c:pt>
                <c:pt idx="46">
                  <c:v>МИГ "Елхово-Болярово"</c:v>
                </c:pt>
                <c:pt idx="47">
                  <c:v>МИГ "Лом"</c:v>
                </c:pt>
                <c:pt idx="48">
                  <c:v>МИГ "Кирково - Златоград"</c:v>
                </c:pt>
                <c:pt idx="49">
                  <c:v>МИГ "Преспа-общини Баните, Лъки и Чепеларе"</c:v>
                </c:pt>
                <c:pt idx="50">
                  <c:v>МИГ "Панагюрище, Стрелча, Лесичово"</c:v>
                </c:pt>
                <c:pt idx="51">
                  <c:v>МИГ "Баличк - Генерал Тошево"</c:v>
                </c:pt>
                <c:pt idx="52">
                  <c:v>МИГ "Главиница-Ситово Крайдунавска Добруджа"</c:v>
                </c:pt>
                <c:pt idx="53">
                  <c:v>МИГ "Мъклиж, Казанлък, Гурково"</c:v>
                </c:pt>
                <c:pt idx="54">
                  <c:v>МИГ "Брезово, Братя Даскалови"</c:v>
                </c:pt>
                <c:pt idx="55">
                  <c:v>МИГ "Гоце Делчев - Гърмен - Хаджидимово"</c:v>
                </c:pt>
                <c:pt idx="56">
                  <c:v>МИГ "Община Марица"</c:v>
                </c:pt>
                <c:pt idx="57">
                  <c:v>МИГ "Костенец 2010"</c:v>
                </c:pt>
                <c:pt idx="58">
                  <c:v>МИГ "Белово, Септември, Велинград"</c:v>
                </c:pt>
                <c:pt idx="59">
                  <c:v>МИГ "Хисаря"</c:v>
                </c:pt>
                <c:pt idx="60">
                  <c:v>МИГ "Бяла Слатина" </c:v>
                </c:pt>
                <c:pt idx="61">
                  <c:v>МИГ "Самоков"</c:v>
                </c:pt>
                <c:pt idx="62">
                  <c:v>МИГ "Струма -Симитли, Кресна и Струмяни"</c:v>
                </c:pt>
                <c:pt idx="63">
                  <c:v>МИГ "Котел, Сунгурларе и Върбица"</c:v>
                </c:pt>
              </c:strCache>
            </c:strRef>
          </c:cat>
          <c:val>
            <c:numRef>
              <c:f>Sheet1!$P$2:$P$65</c:f>
              <c:numCache>
                <c:formatCode>General</c:formatCode>
                <c:ptCount val="64"/>
                <c:pt idx="0">
                  <c:v>5</c:v>
                </c:pt>
                <c:pt idx="1">
                  <c:v>5</c:v>
                </c:pt>
                <c:pt idx="2">
                  <c:v>7</c:v>
                </c:pt>
                <c:pt idx="3">
                  <c:v>5</c:v>
                </c:pt>
                <c:pt idx="4">
                  <c:v>7</c:v>
                </c:pt>
                <c:pt idx="5">
                  <c:v>5</c:v>
                </c:pt>
                <c:pt idx="6">
                  <c:v>7</c:v>
                </c:pt>
                <c:pt idx="7">
                  <c:v>5</c:v>
                </c:pt>
                <c:pt idx="8">
                  <c:v>9</c:v>
                </c:pt>
                <c:pt idx="9">
                  <c:v>7</c:v>
                </c:pt>
                <c:pt idx="10">
                  <c:v>5</c:v>
                </c:pt>
                <c:pt idx="11">
                  <c:v>7</c:v>
                </c:pt>
                <c:pt idx="12">
                  <c:v>5</c:v>
                </c:pt>
                <c:pt idx="13">
                  <c:v>9</c:v>
                </c:pt>
                <c:pt idx="14">
                  <c:v>7</c:v>
                </c:pt>
                <c:pt idx="15">
                  <c:v>5</c:v>
                </c:pt>
                <c:pt idx="16">
                  <c:v>7</c:v>
                </c:pt>
                <c:pt idx="17">
                  <c:v>7</c:v>
                </c:pt>
                <c:pt idx="18">
                  <c:v>5</c:v>
                </c:pt>
                <c:pt idx="19">
                  <c:v>7</c:v>
                </c:pt>
                <c:pt idx="20">
                  <c:v>5</c:v>
                </c:pt>
                <c:pt idx="21">
                  <c:v>5</c:v>
                </c:pt>
                <c:pt idx="22">
                  <c:v>7</c:v>
                </c:pt>
                <c:pt idx="23">
                  <c:v>7</c:v>
                </c:pt>
                <c:pt idx="24">
                  <c:v>9</c:v>
                </c:pt>
                <c:pt idx="25">
                  <c:v>7</c:v>
                </c:pt>
                <c:pt idx="26">
                  <c:v>9</c:v>
                </c:pt>
                <c:pt idx="27">
                  <c:v>7</c:v>
                </c:pt>
                <c:pt idx="28">
                  <c:v>5</c:v>
                </c:pt>
                <c:pt idx="29">
                  <c:v>7</c:v>
                </c:pt>
                <c:pt idx="30">
                  <c:v>5</c:v>
                </c:pt>
                <c:pt idx="31">
                  <c:v>5</c:v>
                </c:pt>
                <c:pt idx="32">
                  <c:v>7</c:v>
                </c:pt>
                <c:pt idx="33">
                  <c:v>5</c:v>
                </c:pt>
                <c:pt idx="34">
                  <c:v>7</c:v>
                </c:pt>
                <c:pt idx="35">
                  <c:v>9</c:v>
                </c:pt>
                <c:pt idx="36">
                  <c:v>9</c:v>
                </c:pt>
                <c:pt idx="37">
                  <c:v>7</c:v>
                </c:pt>
                <c:pt idx="38">
                  <c:v>7</c:v>
                </c:pt>
                <c:pt idx="39">
                  <c:v>7</c:v>
                </c:pt>
                <c:pt idx="40">
                  <c:v>5</c:v>
                </c:pt>
                <c:pt idx="41">
                  <c:v>7</c:v>
                </c:pt>
                <c:pt idx="42">
                  <c:v>7</c:v>
                </c:pt>
                <c:pt idx="43">
                  <c:v>7</c:v>
                </c:pt>
                <c:pt idx="44">
                  <c:v>5</c:v>
                </c:pt>
                <c:pt idx="45">
                  <c:v>5</c:v>
                </c:pt>
                <c:pt idx="46">
                  <c:v>5</c:v>
                </c:pt>
                <c:pt idx="47">
                  <c:v>5</c:v>
                </c:pt>
                <c:pt idx="48">
                  <c:v>5</c:v>
                </c:pt>
                <c:pt idx="49">
                  <c:v>9</c:v>
                </c:pt>
                <c:pt idx="50">
                  <c:v>9</c:v>
                </c:pt>
                <c:pt idx="51">
                  <c:v>7</c:v>
                </c:pt>
                <c:pt idx="52">
                  <c:v>7</c:v>
                </c:pt>
                <c:pt idx="53">
                  <c:v>9</c:v>
                </c:pt>
                <c:pt idx="54">
                  <c:v>9</c:v>
                </c:pt>
                <c:pt idx="55">
                  <c:v>7</c:v>
                </c:pt>
                <c:pt idx="56">
                  <c:v>5</c:v>
                </c:pt>
                <c:pt idx="57">
                  <c:v>5</c:v>
                </c:pt>
                <c:pt idx="58">
                  <c:v>9</c:v>
                </c:pt>
                <c:pt idx="59">
                  <c:v>5</c:v>
                </c:pt>
                <c:pt idx="60">
                  <c:v>5</c:v>
                </c:pt>
                <c:pt idx="61">
                  <c:v>5</c:v>
                </c:pt>
                <c:pt idx="62">
                  <c:v>5</c:v>
                </c:pt>
                <c:pt idx="63">
                  <c:v>5</c:v>
                </c:pt>
              </c:numCache>
            </c:numRef>
          </c:val>
          <c:extLst xmlns:c16r2="http://schemas.microsoft.com/office/drawing/2015/06/chart">
            <c:ext xmlns:c16="http://schemas.microsoft.com/office/drawing/2014/chart" uri="{C3380CC4-5D6E-409C-BE32-E72D297353CC}">
              <c16:uniqueId val="{00000000-11B4-4437-B57D-470E2D91A301}"/>
            </c:ext>
          </c:extLst>
        </c:ser>
        <c:dLbls>
          <c:showLegendKey val="0"/>
          <c:showVal val="0"/>
          <c:showCatName val="0"/>
          <c:showSerName val="0"/>
          <c:showPercent val="0"/>
          <c:showBubbleSize val="0"/>
        </c:dLbls>
        <c:gapWidth val="150"/>
        <c:axId val="291687936"/>
        <c:axId val="157181056"/>
      </c:barChart>
      <c:catAx>
        <c:axId val="291687936"/>
        <c:scaling>
          <c:orientation val="maxMin"/>
        </c:scaling>
        <c:delete val="0"/>
        <c:axPos val="l"/>
        <c:numFmt formatCode="General" sourceLinked="0"/>
        <c:majorTickMark val="out"/>
        <c:minorTickMark val="none"/>
        <c:tickLblPos val="nextTo"/>
        <c:txPr>
          <a:bodyPr/>
          <a:lstStyle/>
          <a:p>
            <a:pPr>
              <a:defRPr sz="800" baseline="0"/>
            </a:pPr>
            <a:endParaRPr lang="it-IT"/>
          </a:p>
        </c:txPr>
        <c:crossAx val="157181056"/>
        <c:crosses val="autoZero"/>
        <c:auto val="1"/>
        <c:lblAlgn val="ctr"/>
        <c:lblOffset val="100"/>
        <c:noMultiLvlLbl val="0"/>
      </c:catAx>
      <c:valAx>
        <c:axId val="157181056"/>
        <c:scaling>
          <c:orientation val="minMax"/>
        </c:scaling>
        <c:delete val="0"/>
        <c:axPos val="t"/>
        <c:majorGridlines/>
        <c:numFmt formatCode="General" sourceLinked="1"/>
        <c:majorTickMark val="out"/>
        <c:minorTickMark val="none"/>
        <c:tickLblPos val="nextTo"/>
        <c:crossAx val="291687936"/>
        <c:crosses val="autoZero"/>
        <c:crossBetween val="between"/>
      </c:valAx>
    </c:plotArea>
    <c:plotVisOnly val="1"/>
    <c:dispBlanksAs val="gap"/>
    <c:showDLblsOverMax val="0"/>
  </c:chart>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16"/>
    </mc:Choice>
    <mc:Fallback>
      <c:style val="16"/>
    </mc:Fallback>
  </mc:AlternateContent>
  <c:chart>
    <c:title>
      <c:tx>
        <c:rich>
          <a:bodyPr/>
          <a:lstStyle/>
          <a:p>
            <a:pPr>
              <a:defRPr sz="1200" baseline="0"/>
            </a:pPr>
            <a:r>
              <a:rPr lang="bg-BG" sz="1200" baseline="0"/>
              <a:t>Разпределение на секторите в УС МИГ</a:t>
            </a:r>
            <a:endParaRPr lang="en-GB" sz="1200" baseline="0"/>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pPr>
              <a:noFill/>
              <a:ln>
                <a:noFill/>
              </a:ln>
              <a:effectLst/>
            </c:spPr>
            <c:showLegendKey val="0"/>
            <c:showVal val="0"/>
            <c:showCatName val="1"/>
            <c:showSerName val="0"/>
            <c:showPercent val="1"/>
            <c:showBubbleSize val="0"/>
            <c:showLeaderLines val="1"/>
            <c:extLst xmlns:c16r2="http://schemas.microsoft.com/office/drawing/2015/06/chart">
              <c:ext xmlns:c15="http://schemas.microsoft.com/office/drawing/2012/chart" uri="{CE6537A1-D6FC-4f65-9D91-7224C49458BB}">
                <c15:layout/>
              </c:ext>
            </c:extLst>
          </c:dLbls>
          <c:cat>
            <c:strRef>
              <c:f>Sheet1!$A$12:$A$14</c:f>
              <c:strCache>
                <c:ptCount val="3"/>
                <c:pt idx="0">
                  <c:v>публичен сектор</c:v>
                </c:pt>
                <c:pt idx="1">
                  <c:v>стопански сектор</c:v>
                </c:pt>
                <c:pt idx="2">
                  <c:v>нестопански сектор</c:v>
                </c:pt>
              </c:strCache>
            </c:strRef>
          </c:cat>
          <c:val>
            <c:numRef>
              <c:f>Sheet1!$B$12:$B$14</c:f>
              <c:numCache>
                <c:formatCode>0%</c:formatCode>
                <c:ptCount val="3"/>
                <c:pt idx="0">
                  <c:v>0.24</c:v>
                </c:pt>
                <c:pt idx="1">
                  <c:v>0.39</c:v>
                </c:pt>
                <c:pt idx="2">
                  <c:v>0.37</c:v>
                </c:pt>
              </c:numCache>
            </c:numRef>
          </c:val>
          <c:extLst xmlns:c16r2="http://schemas.microsoft.com/office/drawing/2015/06/chart">
            <c:ext xmlns:c16="http://schemas.microsoft.com/office/drawing/2014/chart" uri="{C3380CC4-5D6E-409C-BE32-E72D297353CC}">
              <c16:uniqueId val="{00000000-AED6-40A4-B22B-1B99E1574B7C}"/>
            </c:ext>
          </c:extLst>
        </c:ser>
        <c:dLbls>
          <c:showLegendKey val="0"/>
          <c:showVal val="0"/>
          <c:showCatName val="1"/>
          <c:showSerName val="0"/>
          <c:showPercent val="1"/>
          <c:showBubbleSize val="0"/>
          <c:showLeaderLines val="1"/>
        </c:dLbls>
      </c:pie3DChart>
    </c:plotArea>
    <c:plotVisOnly val="1"/>
    <c:dispBlanksAs val="gap"/>
    <c:showDLblsOverMax val="0"/>
  </c:chart>
  <c:txPr>
    <a:bodyPr/>
    <a:lstStyle/>
    <a:p>
      <a:pPr>
        <a:defRPr>
          <a:latin typeface="Times New Roman" pitchFamily="18" charset="0"/>
          <a:cs typeface="Times New Roman" pitchFamily="18" charset="0"/>
        </a:defRPr>
      </a:pPr>
      <a:endParaRPr lang="it-IT"/>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22"/>
    </mc:Choice>
    <mc:Fallback>
      <c:style val="22"/>
    </mc:Fallback>
  </mc:AlternateContent>
  <c:chart>
    <c:autoTitleDeleted val="0"/>
    <c:plotArea>
      <c:layout/>
      <c:barChart>
        <c:barDir val="bar"/>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Sheet1!$N$2:$N$65</c:f>
              <c:strCache>
                <c:ptCount val="64"/>
                <c:pt idx="0">
                  <c:v>МИГ "Исперих"</c:v>
                </c:pt>
                <c:pt idx="1">
                  <c:v>МИГ "Разлог"</c:v>
                </c:pt>
                <c:pt idx="2">
                  <c:v>МИГ "Тутракан - Сливо поле"</c:v>
                </c:pt>
                <c:pt idx="3">
                  <c:v>МИГ "Стралджа 2016"</c:v>
                </c:pt>
                <c:pt idx="4">
                  <c:v>МИГ "Завет - Кубрат"</c:v>
                </c:pt>
                <c:pt idx="5">
                  <c:v>МИГ "Тервел - Крушари"</c:v>
                </c:pt>
                <c:pt idx="6">
                  <c:v>МИГ "Общини Минерални бани и Черноочене"</c:v>
                </c:pt>
                <c:pt idx="7">
                  <c:v>МИГ "Харманли"</c:v>
                </c:pt>
                <c:pt idx="8">
                  <c:v>МИГ "Долна Митрополия - Долни Дъбник"</c:v>
                </c:pt>
                <c:pt idx="9">
                  <c:v>МИГ "Перущица - Родопи"</c:v>
                </c:pt>
                <c:pt idx="10">
                  <c:v>МИГ "Стамболово-Кърджали 54"</c:v>
                </c:pt>
                <c:pt idx="11">
                  <c:v>МИГ "Куклен-Асеновград"</c:v>
                </c:pt>
                <c:pt idx="12">
                  <c:v>МИГ Яблаланица Правец</c:v>
                </c:pt>
                <c:pt idx="13">
                  <c:v>МИГ „Високи Западни Родопи-Борино-Доспат-Сърница”</c:v>
                </c:pt>
                <c:pt idx="14">
                  <c:v>МИГ "Възход - Ветрино, Вълчи дол, Провадия"</c:v>
                </c:pt>
                <c:pt idx="15">
                  <c:v>МИГ "Гълъбово - Опан"</c:v>
                </c:pt>
                <c:pt idx="16">
                  <c:v>МИГ "Дряново - Трявна - в сърцето на Балкана"</c:v>
                </c:pt>
                <c:pt idx="17">
                  <c:v>МИГ "Добричка"</c:v>
                </c:pt>
                <c:pt idx="18">
                  <c:v>МИГ "Любимец - Ивайловград"</c:v>
                </c:pt>
                <c:pt idx="19">
                  <c:v>МИГ "Попово"</c:v>
                </c:pt>
                <c:pt idx="20">
                  <c:v>МИГ "Нови пазар - 
Каспичан"</c:v>
                </c:pt>
                <c:pt idx="21">
                  <c:v>МИГ "Поморие"</c:v>
                </c:pt>
                <c:pt idx="22">
                  <c:v>МИГ "Свиленград ареал"</c:v>
                </c:pt>
                <c:pt idx="23">
                  <c:v>МИГ "Лясковец-Стражица"</c:v>
                </c:pt>
                <c:pt idx="24">
                  <c:v>МИГ "Общини Елена и Златарица"</c:v>
                </c:pt>
                <c:pt idx="25">
                  <c:v>МИГ "Павликени-
Полски Тръмбеш "</c:v>
                </c:pt>
                <c:pt idx="26">
                  <c:v>МИГ "Карлуковски карст - Червен бряг - Искър"</c:v>
                </c:pt>
                <c:pt idx="27">
                  <c:v>МИГ "Сливница - Драгоман"</c:v>
                </c:pt>
                <c:pt idx="28">
                  <c:v>МИГ "Девня-Аксаково"</c:v>
                </c:pt>
                <c:pt idx="29">
                  <c:v>МИГ „Общини Момчилград и Крумовград“</c:v>
                </c:pt>
                <c:pt idx="30">
                  <c:v>МИГ "Радомир-Земен"</c:v>
                </c:pt>
                <c:pt idx="31">
                  <c:v>МИГ "Сандански"</c:v>
                </c:pt>
                <c:pt idx="32">
                  <c:v>МИГ "Чирпан"</c:v>
                </c:pt>
                <c:pt idx="33">
                  <c:v>МИГ "Тунджа"</c:v>
                </c:pt>
                <c:pt idx="34">
                  <c:v>МИГ "Айтос" </c:v>
                </c:pt>
                <c:pt idx="35">
                  <c:v>МИГ "Аврен-Белослав"</c:v>
                </c:pt>
                <c:pt idx="36">
                  <c:v>МИГ "Костинброд-Своге"</c:v>
                </c:pt>
                <c:pt idx="37">
                  <c:v>МИГ "Средец"</c:v>
                </c:pt>
                <c:pt idx="38">
                  <c:v>МИГ "Раковски"</c:v>
                </c:pt>
                <c:pt idx="39">
                  <c:v>МИГ "Берковица и Годеч"</c:v>
                </c:pt>
                <c:pt idx="40">
                  <c:v>МИГ "Долни чифлик и Бяла"</c:v>
                </c:pt>
                <c:pt idx="41">
                  <c:v>МИГ "Луковит-Роман"</c:v>
                </c:pt>
                <c:pt idx="42">
                  <c:v>МИГ "Белене-Никопол"</c:v>
                </c:pt>
                <c:pt idx="43">
                  <c:v>МИГ "Ардино - Джебел" </c:v>
                </c:pt>
                <c:pt idx="44">
                  <c:v>МИГ "Троян, Априлци, Угърчин"</c:v>
                </c:pt>
                <c:pt idx="45">
                  <c:v>МИГ "Нова Загора"</c:v>
                </c:pt>
                <c:pt idx="46">
                  <c:v>МИГ "Елхово-Болярово"</c:v>
                </c:pt>
                <c:pt idx="47">
                  <c:v>МИГ "Лом"</c:v>
                </c:pt>
                <c:pt idx="48">
                  <c:v>МИГ "Кирково - Златоград"</c:v>
                </c:pt>
                <c:pt idx="49">
                  <c:v>МИГ "Преспа-общини Баните, Лъки и Чепеларе"</c:v>
                </c:pt>
                <c:pt idx="50">
                  <c:v>МИГ "Панагюрище, Стрелча, Лесичово"</c:v>
                </c:pt>
                <c:pt idx="51">
                  <c:v>МИГ "Баличк - Генерал Тошево"</c:v>
                </c:pt>
                <c:pt idx="52">
                  <c:v>МИГ "Главиница-Ситово Крайдунавска Добруджа"</c:v>
                </c:pt>
                <c:pt idx="53">
                  <c:v>МИГ "Мъклиж, Казанлък, Гурково"</c:v>
                </c:pt>
                <c:pt idx="54">
                  <c:v>МИГ "Брезово, Братя Даскалови"</c:v>
                </c:pt>
                <c:pt idx="55">
                  <c:v>МИГ "Гоце Делчев - Гърмен - Хаджидимово"</c:v>
                </c:pt>
                <c:pt idx="56">
                  <c:v>МИГ "Община Марица"</c:v>
                </c:pt>
                <c:pt idx="57">
                  <c:v>МИГ "Костенец 2010"</c:v>
                </c:pt>
                <c:pt idx="58">
                  <c:v>МИГ "Белово, Септември, Велинград"</c:v>
                </c:pt>
                <c:pt idx="59">
                  <c:v>МИГ "Хисаря"</c:v>
                </c:pt>
                <c:pt idx="60">
                  <c:v>МИГ "Бяла Слатина" </c:v>
                </c:pt>
                <c:pt idx="61">
                  <c:v>МИГ "Самоков"</c:v>
                </c:pt>
                <c:pt idx="62">
                  <c:v>МИГ "Струма -Симитли, Кресна и Струмяни"</c:v>
                </c:pt>
                <c:pt idx="63">
                  <c:v>МИГ "Котел, Сунгурларе и Върбица"</c:v>
                </c:pt>
              </c:strCache>
            </c:strRef>
          </c:cat>
          <c:val>
            <c:numRef>
              <c:f>Sheet1!$Q$2:$Q$65</c:f>
              <c:numCache>
                <c:formatCode>General</c:formatCode>
                <c:ptCount val="64"/>
                <c:pt idx="0">
                  <c:v>4</c:v>
                </c:pt>
                <c:pt idx="1">
                  <c:v>3</c:v>
                </c:pt>
                <c:pt idx="2">
                  <c:v>4</c:v>
                </c:pt>
                <c:pt idx="3">
                  <c:v>3</c:v>
                </c:pt>
                <c:pt idx="4">
                  <c:v>3</c:v>
                </c:pt>
                <c:pt idx="5">
                  <c:v>3</c:v>
                </c:pt>
                <c:pt idx="6">
                  <c:v>3</c:v>
                </c:pt>
                <c:pt idx="7">
                  <c:v>3</c:v>
                </c:pt>
                <c:pt idx="8">
                  <c:v>3</c:v>
                </c:pt>
                <c:pt idx="9">
                  <c:v>4</c:v>
                </c:pt>
                <c:pt idx="10">
                  <c:v>3</c:v>
                </c:pt>
                <c:pt idx="11">
                  <c:v>2</c:v>
                </c:pt>
                <c:pt idx="12">
                  <c:v>3</c:v>
                </c:pt>
                <c:pt idx="13">
                  <c:v>4</c:v>
                </c:pt>
                <c:pt idx="14">
                  <c:v>3</c:v>
                </c:pt>
                <c:pt idx="15">
                  <c:v>4</c:v>
                </c:pt>
                <c:pt idx="16">
                  <c:v>3</c:v>
                </c:pt>
                <c:pt idx="17">
                  <c:v>3</c:v>
                </c:pt>
                <c:pt idx="18">
                  <c:v>3</c:v>
                </c:pt>
                <c:pt idx="19">
                  <c:v>3</c:v>
                </c:pt>
                <c:pt idx="20">
                  <c:v>1</c:v>
                </c:pt>
                <c:pt idx="21">
                  <c:v>3</c:v>
                </c:pt>
                <c:pt idx="22">
                  <c:v>5</c:v>
                </c:pt>
                <c:pt idx="23">
                  <c:v>3</c:v>
                </c:pt>
                <c:pt idx="24">
                  <c:v>3</c:v>
                </c:pt>
                <c:pt idx="25">
                  <c:v>5</c:v>
                </c:pt>
                <c:pt idx="26">
                  <c:v>3</c:v>
                </c:pt>
                <c:pt idx="27">
                  <c:v>3</c:v>
                </c:pt>
                <c:pt idx="28">
                  <c:v>3</c:v>
                </c:pt>
                <c:pt idx="29">
                  <c:v>5</c:v>
                </c:pt>
                <c:pt idx="30">
                  <c:v>3</c:v>
                </c:pt>
                <c:pt idx="31">
                  <c:v>5</c:v>
                </c:pt>
                <c:pt idx="32">
                  <c:v>4</c:v>
                </c:pt>
                <c:pt idx="33">
                  <c:v>4</c:v>
                </c:pt>
                <c:pt idx="34">
                  <c:v>4</c:v>
                </c:pt>
                <c:pt idx="35">
                  <c:v>2</c:v>
                </c:pt>
                <c:pt idx="36">
                  <c:v>5</c:v>
                </c:pt>
                <c:pt idx="37">
                  <c:v>3</c:v>
                </c:pt>
                <c:pt idx="38">
                  <c:v>4</c:v>
                </c:pt>
                <c:pt idx="39">
                  <c:v>5</c:v>
                </c:pt>
                <c:pt idx="40">
                  <c:v>3</c:v>
                </c:pt>
                <c:pt idx="41">
                  <c:v>5</c:v>
                </c:pt>
                <c:pt idx="42">
                  <c:v>5</c:v>
                </c:pt>
                <c:pt idx="43">
                  <c:v>5</c:v>
                </c:pt>
                <c:pt idx="44">
                  <c:v>4</c:v>
                </c:pt>
                <c:pt idx="45">
                  <c:v>3</c:v>
                </c:pt>
                <c:pt idx="46">
                  <c:v>3</c:v>
                </c:pt>
                <c:pt idx="47">
                  <c:v>4</c:v>
                </c:pt>
                <c:pt idx="48">
                  <c:v>4</c:v>
                </c:pt>
                <c:pt idx="49">
                  <c:v>4</c:v>
                </c:pt>
                <c:pt idx="50">
                  <c:v>5</c:v>
                </c:pt>
                <c:pt idx="51">
                  <c:v>4</c:v>
                </c:pt>
                <c:pt idx="52">
                  <c:v>3</c:v>
                </c:pt>
                <c:pt idx="53">
                  <c:v>4</c:v>
                </c:pt>
                <c:pt idx="54">
                  <c:v>4</c:v>
                </c:pt>
                <c:pt idx="55">
                  <c:v>4</c:v>
                </c:pt>
                <c:pt idx="56">
                  <c:v>2</c:v>
                </c:pt>
                <c:pt idx="57">
                  <c:v>4</c:v>
                </c:pt>
                <c:pt idx="58">
                  <c:v>6</c:v>
                </c:pt>
                <c:pt idx="59">
                  <c:v>3</c:v>
                </c:pt>
                <c:pt idx="60">
                  <c:v>4</c:v>
                </c:pt>
                <c:pt idx="61">
                  <c:v>4</c:v>
                </c:pt>
                <c:pt idx="62">
                  <c:v>4</c:v>
                </c:pt>
                <c:pt idx="63">
                  <c:v>3</c:v>
                </c:pt>
              </c:numCache>
            </c:numRef>
          </c:val>
          <c:extLst xmlns:c16r2="http://schemas.microsoft.com/office/drawing/2015/06/chart">
            <c:ext xmlns:c16="http://schemas.microsoft.com/office/drawing/2014/chart" uri="{C3380CC4-5D6E-409C-BE32-E72D297353CC}">
              <c16:uniqueId val="{00000000-5211-485D-ABFE-6150385C49ED}"/>
            </c:ext>
          </c:extLst>
        </c:ser>
        <c:dLbls>
          <c:showLegendKey val="0"/>
          <c:showVal val="0"/>
          <c:showCatName val="0"/>
          <c:showSerName val="0"/>
          <c:showPercent val="0"/>
          <c:showBubbleSize val="0"/>
        </c:dLbls>
        <c:gapWidth val="150"/>
        <c:axId val="294815232"/>
        <c:axId val="157183936"/>
      </c:barChart>
      <c:catAx>
        <c:axId val="294815232"/>
        <c:scaling>
          <c:orientation val="maxMin"/>
        </c:scaling>
        <c:delete val="0"/>
        <c:axPos val="l"/>
        <c:numFmt formatCode="General" sourceLinked="0"/>
        <c:majorTickMark val="out"/>
        <c:minorTickMark val="none"/>
        <c:tickLblPos val="nextTo"/>
        <c:txPr>
          <a:bodyPr/>
          <a:lstStyle/>
          <a:p>
            <a:pPr>
              <a:defRPr baseline="0"/>
            </a:pPr>
            <a:endParaRPr lang="it-IT"/>
          </a:p>
        </c:txPr>
        <c:crossAx val="157183936"/>
        <c:crosses val="autoZero"/>
        <c:auto val="1"/>
        <c:lblAlgn val="ctr"/>
        <c:lblOffset val="100"/>
        <c:noMultiLvlLbl val="0"/>
      </c:catAx>
      <c:valAx>
        <c:axId val="157183936"/>
        <c:scaling>
          <c:orientation val="minMax"/>
        </c:scaling>
        <c:delete val="0"/>
        <c:axPos val="t"/>
        <c:majorGridlines/>
        <c:numFmt formatCode="General" sourceLinked="1"/>
        <c:majorTickMark val="out"/>
        <c:minorTickMark val="none"/>
        <c:tickLblPos val="nextTo"/>
        <c:crossAx val="294815232"/>
        <c:crosses val="autoZero"/>
        <c:crossBetween val="between"/>
      </c:valAx>
    </c:plotArea>
    <c:plotVisOnly val="1"/>
    <c:dispBlanksAs val="gap"/>
    <c:showDLblsOverMax val="0"/>
  </c:chart>
  <c:txPr>
    <a:bodyPr/>
    <a:lstStyle/>
    <a:p>
      <a:pPr>
        <a:defRPr sz="800" baseline="0"/>
      </a:pPr>
      <a:endParaRPr lang="it-IT"/>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24"/>
    </mc:Choice>
    <mc:Fallback>
      <c:style val="24"/>
    </mc:Fallback>
  </mc:AlternateContent>
  <c:chart>
    <c:autoTitleDeleted val="0"/>
    <c:plotArea>
      <c:layout/>
      <c:barChart>
        <c:barDir val="col"/>
        <c:grouping val="clustered"/>
        <c:varyColors val="0"/>
        <c:ser>
          <c:idx val="0"/>
          <c:order val="0"/>
          <c:invertIfNegative val="0"/>
          <c:dPt>
            <c:idx val="0"/>
            <c:invertIfNegative val="0"/>
            <c:bubble3D val="0"/>
            <c:spPr>
              <a:solidFill>
                <a:schemeClr val="accent1"/>
              </a:solidFill>
            </c:spPr>
            <c:extLst xmlns:c16r2="http://schemas.microsoft.com/office/drawing/2015/06/chart">
              <c:ext xmlns:c16="http://schemas.microsoft.com/office/drawing/2014/chart" uri="{C3380CC4-5D6E-409C-BE32-E72D297353CC}">
                <c16:uniqueId val="{00000001-F0EC-48D6-B9CC-27EF648B8911}"/>
              </c:ext>
            </c:extLst>
          </c:dPt>
          <c:dPt>
            <c:idx val="2"/>
            <c:invertIfNegative val="0"/>
            <c:bubble3D val="0"/>
            <c:spPr>
              <a:solidFill>
                <a:schemeClr val="accent1"/>
              </a:solidFill>
            </c:spPr>
            <c:extLst xmlns:c16r2="http://schemas.microsoft.com/office/drawing/2015/06/chart">
              <c:ext xmlns:c16="http://schemas.microsoft.com/office/drawing/2014/chart" uri="{C3380CC4-5D6E-409C-BE32-E72D297353CC}">
                <c16:uniqueId val="{00000003-F0EC-48D6-B9CC-27EF648B8911}"/>
              </c:ext>
            </c:extLst>
          </c:dPt>
          <c:dPt>
            <c:idx val="4"/>
            <c:invertIfNegative val="0"/>
            <c:bubble3D val="0"/>
            <c:spPr>
              <a:solidFill>
                <a:schemeClr val="accent1"/>
              </a:solidFill>
            </c:spPr>
            <c:extLst xmlns:c16r2="http://schemas.microsoft.com/office/drawing/2015/06/chart">
              <c:ext xmlns:c16="http://schemas.microsoft.com/office/drawing/2014/chart" uri="{C3380CC4-5D6E-409C-BE32-E72D297353CC}">
                <c16:uniqueId val="{00000005-F0EC-48D6-B9CC-27EF648B8911}"/>
              </c:ext>
            </c:extLst>
          </c:dPt>
          <c:dPt>
            <c:idx val="6"/>
            <c:invertIfNegative val="0"/>
            <c:bubble3D val="0"/>
            <c:spPr>
              <a:solidFill>
                <a:schemeClr val="accent1"/>
              </a:solidFill>
            </c:spPr>
            <c:extLst xmlns:c16r2="http://schemas.microsoft.com/office/drawing/2015/06/chart">
              <c:ext xmlns:c16="http://schemas.microsoft.com/office/drawing/2014/chart" uri="{C3380CC4-5D6E-409C-BE32-E72D297353CC}">
                <c16:uniqueId val="{00000007-F0EC-48D6-B9CC-27EF648B8911}"/>
              </c:ext>
            </c:extLst>
          </c:dPt>
          <c:dLbls>
            <c:dLbl>
              <c:idx val="4"/>
              <c:tx>
                <c:rich>
                  <a:bodyPr/>
                  <a:lstStyle/>
                  <a:p>
                    <a:r>
                      <a:rPr lang="bg-BG" sz="1000" b="0" i="0" u="none" strike="noStrike" baseline="0">
                        <a:effectLst/>
                      </a:rPr>
                      <a:t>69 182  кв. км.</a:t>
                    </a:r>
                    <a:endParaRPr lang="bg-BG"/>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F0EC-48D6-B9CC-27EF648B8911}"/>
                </c:ext>
              </c:extLst>
            </c:dLbl>
            <c:dLbl>
              <c:idx val="5"/>
              <c:tx>
                <c:rich>
                  <a:bodyPr/>
                  <a:lstStyle/>
                  <a:p>
                    <a:r>
                      <a:rPr lang="bg-BG" sz="1000" b="0" i="0" u="none" strike="noStrike" baseline="0">
                        <a:effectLst/>
                      </a:rPr>
                      <a:t>52 561  кв. км.</a:t>
                    </a:r>
                    <a:endParaRPr lang="bg-BG"/>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F0EC-48D6-B9CC-27EF648B8911}"/>
                </c:ext>
              </c:extLst>
            </c:dLbl>
            <c:dLbl>
              <c:idx val="6"/>
              <c:layout>
                <c:manualLayout>
                  <c:x val="-4.3431053203040176E-3"/>
                  <c:y val="0.10587262200165426"/>
                </c:manualLayout>
              </c:layout>
              <c:tx>
                <c:rich>
                  <a:bodyPr/>
                  <a:lstStyle/>
                  <a:p>
                    <a:r>
                      <a:rPr lang="bg-BG"/>
                      <a:t>2,08 млн. ж.</a:t>
                    </a:r>
                    <a:r>
                      <a:rPr lang="bg-BG" baseline="0"/>
                      <a:t> </a:t>
                    </a:r>
                    <a:endParaRPr lang="bg-BG"/>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F0EC-48D6-B9CC-27EF648B8911}"/>
                </c:ext>
              </c:extLst>
            </c:dLbl>
            <c:dLbl>
              <c:idx val="7"/>
              <c:tx>
                <c:rich>
                  <a:bodyPr/>
                  <a:lstStyle/>
                  <a:p>
                    <a:r>
                      <a:rPr lang="bg-BG"/>
                      <a:t>1,59 млн. ж.</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F0EC-48D6-B9CC-27EF648B8911}"/>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Sheet1!$A$84:$A$91</c:f>
              <c:strCache>
                <c:ptCount val="8"/>
                <c:pt idx="0">
                  <c:v>подадени заявления</c:v>
                </c:pt>
                <c:pt idx="1">
                  <c:v>одобрени заявления</c:v>
                </c:pt>
                <c:pt idx="2">
                  <c:v>брой общини подадени заявления</c:v>
                </c:pt>
                <c:pt idx="3">
                  <c:v>брой общини одобрени заявления</c:v>
                </c:pt>
                <c:pt idx="4">
                  <c:v>територия подадени заявления</c:v>
                </c:pt>
                <c:pt idx="5">
                  <c:v>територия одобрени заявления</c:v>
                </c:pt>
                <c:pt idx="6">
                  <c:v>население подадени заявления</c:v>
                </c:pt>
                <c:pt idx="7">
                  <c:v>население одобрени заявления</c:v>
                </c:pt>
              </c:strCache>
            </c:strRef>
          </c:cat>
          <c:val>
            <c:numRef>
              <c:f>Sheet1!$B$84:$B$91</c:f>
              <c:numCache>
                <c:formatCode>General</c:formatCode>
                <c:ptCount val="8"/>
                <c:pt idx="0">
                  <c:v>89</c:v>
                </c:pt>
                <c:pt idx="1">
                  <c:v>66</c:v>
                </c:pt>
                <c:pt idx="2">
                  <c:v>161</c:v>
                </c:pt>
                <c:pt idx="3">
                  <c:v>119</c:v>
                </c:pt>
                <c:pt idx="4">
                  <c:v>169</c:v>
                </c:pt>
                <c:pt idx="5">
                  <c:v>152</c:v>
                </c:pt>
                <c:pt idx="6">
                  <c:v>208</c:v>
                </c:pt>
                <c:pt idx="7">
                  <c:v>159</c:v>
                </c:pt>
              </c:numCache>
            </c:numRef>
          </c:val>
          <c:extLst xmlns:c16r2="http://schemas.microsoft.com/office/drawing/2015/06/chart">
            <c:ext xmlns:c16="http://schemas.microsoft.com/office/drawing/2014/chart" uri="{C3380CC4-5D6E-409C-BE32-E72D297353CC}">
              <c16:uniqueId val="{0000000A-F0EC-48D6-B9CC-27EF648B8911}"/>
            </c:ext>
          </c:extLst>
        </c:ser>
        <c:dLbls>
          <c:showLegendKey val="0"/>
          <c:showVal val="0"/>
          <c:showCatName val="0"/>
          <c:showSerName val="0"/>
          <c:showPercent val="0"/>
          <c:showBubbleSize val="0"/>
        </c:dLbls>
        <c:gapWidth val="150"/>
        <c:axId val="291684352"/>
        <c:axId val="157185664"/>
      </c:barChart>
      <c:catAx>
        <c:axId val="291684352"/>
        <c:scaling>
          <c:orientation val="minMax"/>
        </c:scaling>
        <c:delete val="0"/>
        <c:axPos val="b"/>
        <c:numFmt formatCode="General" sourceLinked="0"/>
        <c:majorTickMark val="out"/>
        <c:minorTickMark val="none"/>
        <c:tickLblPos val="nextTo"/>
        <c:crossAx val="157185664"/>
        <c:crosses val="autoZero"/>
        <c:auto val="1"/>
        <c:lblAlgn val="ctr"/>
        <c:lblOffset val="100"/>
        <c:noMultiLvlLbl val="0"/>
      </c:catAx>
      <c:valAx>
        <c:axId val="157185664"/>
        <c:scaling>
          <c:orientation val="minMax"/>
        </c:scaling>
        <c:delete val="0"/>
        <c:axPos val="l"/>
        <c:majorGridlines/>
        <c:numFmt formatCode="General" sourceLinked="1"/>
        <c:majorTickMark val="out"/>
        <c:minorTickMark val="none"/>
        <c:tickLblPos val="nextTo"/>
        <c:crossAx val="291684352"/>
        <c:crosses val="autoZero"/>
        <c:crossBetween val="between"/>
      </c:valAx>
    </c:plotArea>
    <c:plotVisOnly val="1"/>
    <c:dispBlanksAs val="gap"/>
    <c:showDLblsOverMax val="0"/>
  </c:chart>
  <c:externalData r:id="rId1">
    <c:autoUpdate val="0"/>
  </c:externalData>
  <c:userShapes r:id="rId2"/>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24"/>
    </mc:Choice>
    <mc:Fallback>
      <c:style val="24"/>
    </mc:Fallback>
  </mc:AlternateContent>
  <c:chart>
    <c:autoTitleDeleted val="0"/>
    <c:plotArea>
      <c:layout/>
      <c:barChart>
        <c:barDir val="col"/>
        <c:grouping val="clustered"/>
        <c:varyColors val="0"/>
        <c:ser>
          <c:idx val="0"/>
          <c:order val="0"/>
          <c:invertIfNegative val="0"/>
          <c:dPt>
            <c:idx val="0"/>
            <c:invertIfNegative val="0"/>
            <c:bubble3D val="0"/>
            <c:spPr>
              <a:solidFill>
                <a:schemeClr val="accent1"/>
              </a:solidFill>
            </c:spPr>
            <c:extLst xmlns:c16r2="http://schemas.microsoft.com/office/drawing/2015/06/chart">
              <c:ext xmlns:c16="http://schemas.microsoft.com/office/drawing/2014/chart" uri="{C3380CC4-5D6E-409C-BE32-E72D297353CC}">
                <c16:uniqueId val="{00000001-B5EC-4180-955E-4FF430768F6D}"/>
              </c:ext>
            </c:extLst>
          </c:dPt>
          <c:dPt>
            <c:idx val="2"/>
            <c:invertIfNegative val="0"/>
            <c:bubble3D val="0"/>
            <c:spPr>
              <a:solidFill>
                <a:schemeClr val="accent1"/>
              </a:solidFill>
            </c:spPr>
            <c:extLst xmlns:c16r2="http://schemas.microsoft.com/office/drawing/2015/06/chart">
              <c:ext xmlns:c16="http://schemas.microsoft.com/office/drawing/2014/chart" uri="{C3380CC4-5D6E-409C-BE32-E72D297353CC}">
                <c16:uniqueId val="{00000003-B5EC-4180-955E-4FF430768F6D}"/>
              </c:ext>
            </c:extLst>
          </c:dPt>
          <c:dPt>
            <c:idx val="4"/>
            <c:invertIfNegative val="0"/>
            <c:bubble3D val="0"/>
            <c:spPr>
              <a:solidFill>
                <a:schemeClr val="accent1"/>
              </a:solidFill>
            </c:spPr>
            <c:extLst xmlns:c16r2="http://schemas.microsoft.com/office/drawing/2015/06/chart">
              <c:ext xmlns:c16="http://schemas.microsoft.com/office/drawing/2014/chart" uri="{C3380CC4-5D6E-409C-BE32-E72D297353CC}">
                <c16:uniqueId val="{00000005-B5EC-4180-955E-4FF430768F6D}"/>
              </c:ext>
            </c:extLst>
          </c:dPt>
          <c:dPt>
            <c:idx val="6"/>
            <c:invertIfNegative val="0"/>
            <c:bubble3D val="0"/>
            <c:spPr>
              <a:solidFill>
                <a:schemeClr val="accent1"/>
              </a:solidFill>
            </c:spPr>
            <c:extLst xmlns:c16r2="http://schemas.microsoft.com/office/drawing/2015/06/chart">
              <c:ext xmlns:c16="http://schemas.microsoft.com/office/drawing/2014/chart" uri="{C3380CC4-5D6E-409C-BE32-E72D297353CC}">
                <c16:uniqueId val="{00000007-B5EC-4180-955E-4FF430768F6D}"/>
              </c:ext>
            </c:extLst>
          </c:dPt>
          <c:dLbls>
            <c:dLbl>
              <c:idx val="4"/>
              <c:tx>
                <c:rich>
                  <a:bodyPr/>
                  <a:lstStyle/>
                  <a:p>
                    <a:r>
                      <a:rPr lang="bg-BG" sz="1000" b="0" i="0" u="none" strike="noStrike" baseline="0">
                        <a:effectLst/>
                      </a:rPr>
                      <a:t>28 572 кв. км.</a:t>
                    </a:r>
                    <a:endParaRPr lang="bg-BG"/>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B5EC-4180-955E-4FF430768F6D}"/>
                </c:ext>
              </c:extLst>
            </c:dLbl>
            <c:dLbl>
              <c:idx val="5"/>
              <c:tx>
                <c:rich>
                  <a:bodyPr/>
                  <a:lstStyle/>
                  <a:p>
                    <a:r>
                      <a:rPr lang="bg-BG" sz="1000" b="0" i="0" u="none" strike="noStrike" baseline="0">
                        <a:effectLst/>
                      </a:rPr>
                      <a:t>21 871 кв. км.</a:t>
                    </a:r>
                    <a:endParaRPr lang="bg-BG"/>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B5EC-4180-955E-4FF430768F6D}"/>
                </c:ext>
              </c:extLst>
            </c:dLbl>
            <c:dLbl>
              <c:idx val="6"/>
              <c:tx>
                <c:rich>
                  <a:bodyPr/>
                  <a:lstStyle/>
                  <a:p>
                    <a:r>
                      <a:rPr lang="bg-BG" sz="1000" b="0" i="0" u="none" strike="noStrike" baseline="0">
                        <a:effectLst/>
                      </a:rPr>
                      <a:t>924 961 ж.</a:t>
                    </a:r>
                    <a:endParaRPr lang="bg-BG"/>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B5EC-4180-955E-4FF430768F6D}"/>
                </c:ext>
              </c:extLst>
            </c:dLbl>
            <c:dLbl>
              <c:idx val="7"/>
              <c:tx>
                <c:rich>
                  <a:bodyPr/>
                  <a:lstStyle/>
                  <a:p>
                    <a:r>
                      <a:rPr lang="bg-BG" sz="1000" b="0" i="0" u="none" strike="noStrike" baseline="0">
                        <a:effectLst/>
                      </a:rPr>
                      <a:t>716 876  ж.</a:t>
                    </a:r>
                    <a:endParaRPr lang="bg-BG"/>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B5EC-4180-955E-4FF430768F6D}"/>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Sheet1!$A$101:$A$108</c:f>
              <c:strCache>
                <c:ptCount val="8"/>
                <c:pt idx="0">
                  <c:v>подадени заявления</c:v>
                </c:pt>
                <c:pt idx="1">
                  <c:v>одобрени заявления</c:v>
                </c:pt>
                <c:pt idx="2">
                  <c:v>брой общини подадени заявления</c:v>
                </c:pt>
                <c:pt idx="3">
                  <c:v>брой общини одобрени заявления</c:v>
                </c:pt>
                <c:pt idx="4">
                  <c:v>територия подадени заявления</c:v>
                </c:pt>
                <c:pt idx="5">
                  <c:v>територия одобрени заявления</c:v>
                </c:pt>
                <c:pt idx="6">
                  <c:v>население подадени заявления</c:v>
                </c:pt>
                <c:pt idx="7">
                  <c:v>население одобрени заявления</c:v>
                </c:pt>
              </c:strCache>
            </c:strRef>
          </c:cat>
          <c:val>
            <c:numRef>
              <c:f>Sheet1!$B$101:$B$108</c:f>
              <c:numCache>
                <c:formatCode>General</c:formatCode>
                <c:ptCount val="8"/>
                <c:pt idx="0">
                  <c:v>44</c:v>
                </c:pt>
                <c:pt idx="1">
                  <c:v>35</c:v>
                </c:pt>
                <c:pt idx="2">
                  <c:v>75</c:v>
                </c:pt>
                <c:pt idx="3">
                  <c:v>61</c:v>
                </c:pt>
                <c:pt idx="4">
                  <c:v>178</c:v>
                </c:pt>
                <c:pt idx="5">
                  <c:v>150</c:v>
                </c:pt>
                <c:pt idx="6">
                  <c:v>192</c:v>
                </c:pt>
                <c:pt idx="7">
                  <c:v>135</c:v>
                </c:pt>
              </c:numCache>
            </c:numRef>
          </c:val>
          <c:extLst xmlns:c16r2="http://schemas.microsoft.com/office/drawing/2015/06/chart">
            <c:ext xmlns:c16="http://schemas.microsoft.com/office/drawing/2014/chart" uri="{C3380CC4-5D6E-409C-BE32-E72D297353CC}">
              <c16:uniqueId val="{0000000A-B5EC-4180-955E-4FF430768F6D}"/>
            </c:ext>
          </c:extLst>
        </c:ser>
        <c:dLbls>
          <c:showLegendKey val="0"/>
          <c:showVal val="0"/>
          <c:showCatName val="0"/>
          <c:showSerName val="0"/>
          <c:showPercent val="0"/>
          <c:showBubbleSize val="0"/>
        </c:dLbls>
        <c:gapWidth val="150"/>
        <c:axId val="294813696"/>
        <c:axId val="157187392"/>
      </c:barChart>
      <c:catAx>
        <c:axId val="294813696"/>
        <c:scaling>
          <c:orientation val="minMax"/>
        </c:scaling>
        <c:delete val="0"/>
        <c:axPos val="b"/>
        <c:numFmt formatCode="General" sourceLinked="0"/>
        <c:majorTickMark val="out"/>
        <c:minorTickMark val="none"/>
        <c:tickLblPos val="nextTo"/>
        <c:crossAx val="157187392"/>
        <c:crosses val="autoZero"/>
        <c:auto val="1"/>
        <c:lblAlgn val="ctr"/>
        <c:lblOffset val="100"/>
        <c:noMultiLvlLbl val="0"/>
      </c:catAx>
      <c:valAx>
        <c:axId val="157187392"/>
        <c:scaling>
          <c:orientation val="minMax"/>
        </c:scaling>
        <c:delete val="0"/>
        <c:axPos val="l"/>
        <c:majorGridlines/>
        <c:numFmt formatCode="General" sourceLinked="1"/>
        <c:majorTickMark val="out"/>
        <c:minorTickMark val="none"/>
        <c:tickLblPos val="nextTo"/>
        <c:crossAx val="294813696"/>
        <c:crosses val="autoZero"/>
        <c:crossBetween val="between"/>
        <c:majorUnit val="50"/>
      </c:valAx>
    </c:plotArea>
    <c:plotVisOnly val="1"/>
    <c:dispBlanksAs val="gap"/>
    <c:showDLblsOverMax val="0"/>
  </c:chart>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'промени в СВОМР и МИГ'!$A$4:$A$8</c:f>
              <c:strCache>
                <c:ptCount val="5"/>
                <c:pt idx="0">
                  <c:v>промени в СВОМР, свързани със сключване на анекс</c:v>
                </c:pt>
                <c:pt idx="1">
                  <c:v>промени в екипите на МИГ</c:v>
                </c:pt>
                <c:pt idx="2">
                  <c:v>промени в УС</c:v>
                </c:pt>
                <c:pt idx="3">
                  <c:v>промени в ОС</c:v>
                </c:pt>
                <c:pt idx="4">
                  <c:v>промени на офисите на МИГ</c:v>
                </c:pt>
              </c:strCache>
            </c:strRef>
          </c:cat>
          <c:val>
            <c:numRef>
              <c:f>'промени в СВОМР и МИГ'!$B$4:$B$8</c:f>
              <c:numCache>
                <c:formatCode>General</c:formatCode>
                <c:ptCount val="5"/>
                <c:pt idx="0">
                  <c:v>222</c:v>
                </c:pt>
                <c:pt idx="1">
                  <c:v>147</c:v>
                </c:pt>
                <c:pt idx="2">
                  <c:v>165</c:v>
                </c:pt>
                <c:pt idx="3">
                  <c:v>170</c:v>
                </c:pt>
                <c:pt idx="4">
                  <c:v>12</c:v>
                </c:pt>
              </c:numCache>
            </c:numRef>
          </c:val>
          <c:extLst xmlns:c16r2="http://schemas.microsoft.com/office/drawing/2015/06/chart">
            <c:ext xmlns:c16="http://schemas.microsoft.com/office/drawing/2014/chart" uri="{C3380CC4-5D6E-409C-BE32-E72D297353CC}">
              <c16:uniqueId val="{00000000-C8B2-441A-BE73-B8625CBD98B7}"/>
            </c:ext>
          </c:extLst>
        </c:ser>
        <c:dLbls>
          <c:showLegendKey val="0"/>
          <c:showVal val="0"/>
          <c:showCatName val="0"/>
          <c:showSerName val="0"/>
          <c:showPercent val="0"/>
          <c:showBubbleSize val="0"/>
        </c:dLbls>
        <c:gapWidth val="150"/>
        <c:axId val="296703488"/>
        <c:axId val="173122688"/>
      </c:barChart>
      <c:catAx>
        <c:axId val="296703488"/>
        <c:scaling>
          <c:orientation val="minMax"/>
        </c:scaling>
        <c:delete val="0"/>
        <c:axPos val="b"/>
        <c:numFmt formatCode="General" sourceLinked="0"/>
        <c:majorTickMark val="out"/>
        <c:minorTickMark val="none"/>
        <c:tickLblPos val="nextTo"/>
        <c:crossAx val="173122688"/>
        <c:crosses val="autoZero"/>
        <c:auto val="1"/>
        <c:lblAlgn val="ctr"/>
        <c:lblOffset val="100"/>
        <c:noMultiLvlLbl val="0"/>
      </c:catAx>
      <c:valAx>
        <c:axId val="173122688"/>
        <c:scaling>
          <c:orientation val="minMax"/>
        </c:scaling>
        <c:delete val="0"/>
        <c:axPos val="l"/>
        <c:majorGridlines/>
        <c:numFmt formatCode="General" sourceLinked="1"/>
        <c:majorTickMark val="out"/>
        <c:minorTickMark val="none"/>
        <c:tickLblPos val="nextTo"/>
        <c:crossAx val="296703488"/>
        <c:crosses val="autoZero"/>
        <c:crossBetween val="between"/>
      </c:valAx>
    </c:plotArea>
    <c:plotVisOnly val="1"/>
    <c:dispBlanksAs val="gap"/>
    <c:showDLblsOverMax val="0"/>
  </c:chart>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24"/>
    </mc:Choice>
    <mc:Fallback>
      <c:style val="24"/>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explosion val="25"/>
          <c:dPt>
            <c:idx val="0"/>
            <c:bubble3D val="0"/>
            <c:spPr>
              <a:solidFill>
                <a:srgbClr val="FF0000"/>
              </a:solidFill>
            </c:spPr>
            <c:extLst xmlns:c16r2="http://schemas.microsoft.com/office/drawing/2015/06/chart">
              <c:ext xmlns:c16="http://schemas.microsoft.com/office/drawing/2014/chart" uri="{C3380CC4-5D6E-409C-BE32-E72D297353CC}">
                <c16:uniqueId val="{00000001-B0D6-4635-A22A-3CA1D15DB37A}"/>
              </c:ext>
            </c:extLst>
          </c:dPt>
          <c:dPt>
            <c:idx val="1"/>
            <c:bubble3D val="0"/>
            <c:spPr>
              <a:solidFill>
                <a:srgbClr val="FF0000"/>
              </a:solidFill>
            </c:spPr>
            <c:extLst xmlns:c16r2="http://schemas.microsoft.com/office/drawing/2015/06/chart">
              <c:ext xmlns:c16="http://schemas.microsoft.com/office/drawing/2014/chart" uri="{C3380CC4-5D6E-409C-BE32-E72D297353CC}">
                <c16:uniqueId val="{00000003-B0D6-4635-A22A-3CA1D15DB37A}"/>
              </c:ext>
            </c:extLst>
          </c:dPt>
          <c:dPt>
            <c:idx val="2"/>
            <c:bubble3D val="0"/>
            <c:spPr>
              <a:solidFill>
                <a:srgbClr val="FFC000"/>
              </a:solidFill>
            </c:spPr>
            <c:extLst xmlns:c16r2="http://schemas.microsoft.com/office/drawing/2015/06/chart">
              <c:ext xmlns:c16="http://schemas.microsoft.com/office/drawing/2014/chart" uri="{C3380CC4-5D6E-409C-BE32-E72D297353CC}">
                <c16:uniqueId val="{00000005-B0D6-4635-A22A-3CA1D15DB37A}"/>
              </c:ext>
            </c:extLst>
          </c:dPt>
          <c:dPt>
            <c:idx val="3"/>
            <c:bubble3D val="0"/>
            <c:spPr>
              <a:solidFill>
                <a:srgbClr val="FFC000"/>
              </a:solidFill>
            </c:spPr>
            <c:extLst xmlns:c16r2="http://schemas.microsoft.com/office/drawing/2015/06/chart">
              <c:ext xmlns:c16="http://schemas.microsoft.com/office/drawing/2014/chart" uri="{C3380CC4-5D6E-409C-BE32-E72D297353CC}">
                <c16:uniqueId val="{00000007-B0D6-4635-A22A-3CA1D15DB37A}"/>
              </c:ext>
            </c:extLst>
          </c:dPt>
          <c:dLbls>
            <c:numFmt formatCode="General" sourceLinked="0"/>
            <c:spPr>
              <a:noFill/>
              <a:ln>
                <a:noFill/>
              </a:ln>
              <a:effectLst/>
            </c:sp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15:layout/>
              </c:ext>
            </c:extLst>
          </c:dLbls>
          <c:cat>
            <c:strRef>
              <c:f>'19.3'!$A$6:$A$9</c:f>
              <c:strCache>
                <c:ptCount val="4"/>
                <c:pt idx="0">
                  <c:v>бюджет за подготвителни дейности 1 прием - 1 955 800 лв.</c:v>
                </c:pt>
                <c:pt idx="1">
                  <c:v>бюджет за подготвителни дейности 2 прием - 933 700 лв.</c:v>
                </c:pt>
                <c:pt idx="2">
                  <c:v>бюджет за дейности за сътрудничество 1 прием - 2 000 000 лв.</c:v>
                </c:pt>
                <c:pt idx="3">
                  <c:v>бюджет за дейности за сътрудничество 2 прием - 7 823 200 лв.</c:v>
                </c:pt>
              </c:strCache>
            </c:strRef>
          </c:cat>
          <c:val>
            <c:numRef>
              <c:f>'19.3'!$B$6:$B$9</c:f>
              <c:numCache>
                <c:formatCode>_-* #,##0.00\ [$лв.-402]_-;\-* #,##0.00\ [$лв.-402]_-;_-* "-"??\ [$лв.-402]_-;_-@_-</c:formatCode>
                <c:ptCount val="4"/>
                <c:pt idx="0">
                  <c:v>1955800</c:v>
                </c:pt>
                <c:pt idx="1">
                  <c:v>933700</c:v>
                </c:pt>
                <c:pt idx="2">
                  <c:v>2000000</c:v>
                </c:pt>
                <c:pt idx="3">
                  <c:v>7823200</c:v>
                </c:pt>
              </c:numCache>
            </c:numRef>
          </c:val>
          <c:extLst xmlns:c16r2="http://schemas.microsoft.com/office/drawing/2015/06/chart">
            <c:ext xmlns:c16="http://schemas.microsoft.com/office/drawing/2014/chart" uri="{C3380CC4-5D6E-409C-BE32-E72D297353CC}">
              <c16:uniqueId val="{00000008-B0D6-4635-A22A-3CA1D15DB37A}"/>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spPr>
            <a:solidFill>
              <a:srgbClr val="FFC000"/>
            </a:solidFill>
          </c:spPr>
          <c:explosion val="25"/>
          <c:dPt>
            <c:idx val="0"/>
            <c:bubble3D val="0"/>
            <c:spPr>
              <a:solidFill>
                <a:srgbClr val="FF0000"/>
              </a:solidFill>
            </c:spPr>
            <c:extLst xmlns:c16r2="http://schemas.microsoft.com/office/drawing/2015/06/chart">
              <c:ext xmlns:c16="http://schemas.microsoft.com/office/drawing/2014/chart" uri="{C3380CC4-5D6E-409C-BE32-E72D297353CC}">
                <c16:uniqueId val="{00000001-43BD-4986-B953-CC3D8133121F}"/>
              </c:ext>
            </c:extLst>
          </c:dPt>
          <c:dPt>
            <c:idx val="1"/>
            <c:bubble3D val="0"/>
            <c:spPr>
              <a:solidFill>
                <a:srgbClr val="FF0000"/>
              </a:solidFill>
            </c:spPr>
            <c:extLst xmlns:c16r2="http://schemas.microsoft.com/office/drawing/2015/06/chart">
              <c:ext xmlns:c16="http://schemas.microsoft.com/office/drawing/2014/chart" uri="{C3380CC4-5D6E-409C-BE32-E72D297353CC}">
                <c16:uniqueId val="{00000003-43BD-4986-B953-CC3D8133121F}"/>
              </c:ext>
            </c:extLst>
          </c:dPt>
          <c:dLbls>
            <c:dLbl>
              <c:idx val="0"/>
              <c:tx>
                <c:rich>
                  <a:bodyPr/>
                  <a:lstStyle/>
                  <a:p>
                    <a:r>
                      <a:rPr lang="en-US"/>
                      <a:t>8%</a:t>
                    </a:r>
                  </a:p>
                </c:rich>
              </c:tx>
              <c:showLegendKey val="0"/>
              <c:showVal val="0"/>
              <c:showCatName val="0"/>
              <c:showSerName val="0"/>
              <c:showPercent val="1"/>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43BD-4986-B953-CC3D8133121F}"/>
                </c:ext>
              </c:extLst>
            </c:dLbl>
            <c:dLbl>
              <c:idx val="3"/>
              <c:tx>
                <c:rich>
                  <a:bodyPr/>
                  <a:lstStyle/>
                  <a:p>
                    <a:r>
                      <a:rPr lang="en-US"/>
                      <a:t>48%</a:t>
                    </a:r>
                  </a:p>
                </c:rich>
              </c:tx>
              <c:showLegendKey val="0"/>
              <c:showVal val="0"/>
              <c:showCatName val="0"/>
              <c:showSerName val="0"/>
              <c:showPercent val="1"/>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43BD-4986-B953-CC3D8133121F}"/>
                </c:ext>
              </c:extLst>
            </c:dLbl>
            <c:spPr>
              <a:noFill/>
              <a:ln>
                <a:noFill/>
              </a:ln>
              <a:effectLst/>
            </c:sp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15:layout/>
              </c:ext>
            </c:extLst>
          </c:dLbls>
          <c:cat>
            <c:strRef>
              <c:f>'19.3'!$A$18:$A$21</c:f>
              <c:strCache>
                <c:ptCount val="4"/>
                <c:pt idx="0">
                  <c:v>договорени средства за подготвителни дейности - 1 102 421,53 лв.</c:v>
                </c:pt>
                <c:pt idx="1">
                  <c:v>недоговорени средства за подготвителни дейности - 1 787 078,47 лв.</c:v>
                </c:pt>
                <c:pt idx="2">
                  <c:v>договорени средства за сътрудничество - 3 793 055,07 лв.</c:v>
                </c:pt>
                <c:pt idx="3">
                  <c:v>недоговорени средства за сътрудничество - 6 030 144,93 лв.</c:v>
                </c:pt>
              </c:strCache>
            </c:strRef>
          </c:cat>
          <c:val>
            <c:numRef>
              <c:f>'19.3'!$B$18:$B$21</c:f>
              <c:numCache>
                <c:formatCode>_-* #,##0.00\ [$лв.-402]_-;\-* #,##0.00\ [$лв.-402]_-;_-* "-"??\ [$лв.-402]_-;_-@_-</c:formatCode>
                <c:ptCount val="4"/>
                <c:pt idx="0">
                  <c:v>1102421.53</c:v>
                </c:pt>
                <c:pt idx="1">
                  <c:v>1787078.47</c:v>
                </c:pt>
                <c:pt idx="2">
                  <c:v>3793055.07</c:v>
                </c:pt>
                <c:pt idx="3">
                  <c:v>6030144.9299999997</c:v>
                </c:pt>
              </c:numCache>
            </c:numRef>
          </c:val>
          <c:extLst xmlns:c16r2="http://schemas.microsoft.com/office/drawing/2015/06/chart">
            <c:ext xmlns:c16="http://schemas.microsoft.com/office/drawing/2014/chart" uri="{C3380CC4-5D6E-409C-BE32-E72D297353CC}">
              <c16:uniqueId val="{00000005-43BD-4986-B953-CC3D8133121F}"/>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24"/>
    </mc:Choice>
    <mc:Fallback>
      <c:style val="24"/>
    </mc:Fallback>
  </mc:AlternateContent>
  <c:chart>
    <c:autoTitleDeleted val="1"/>
    <c:plotArea>
      <c:layout/>
      <c:barChart>
        <c:barDir val="col"/>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'19.3'!$A$37:$A$39</c:f>
              <c:strCache>
                <c:ptCount val="3"/>
                <c:pt idx="0">
                  <c:v>общ бюджет</c:v>
                </c:pt>
                <c:pt idx="1">
                  <c:v>договорени средства </c:v>
                </c:pt>
                <c:pt idx="2">
                  <c:v>изплатени средства</c:v>
                </c:pt>
              </c:strCache>
            </c:strRef>
          </c:cat>
          <c:val>
            <c:numRef>
              <c:f>'19.3'!$B$37:$B$39</c:f>
              <c:numCache>
                <c:formatCode>_-* #,##0.00\ [$лв.-402]_-;\-* #,##0.00\ [$лв.-402]_-;_-* "-"??\ [$лв.-402]_-;_-@_-</c:formatCode>
                <c:ptCount val="3"/>
                <c:pt idx="0">
                  <c:v>12712700</c:v>
                </c:pt>
                <c:pt idx="1">
                  <c:v>4895476.5999999996</c:v>
                </c:pt>
                <c:pt idx="2">
                  <c:v>854782.83000000007</c:v>
                </c:pt>
              </c:numCache>
            </c:numRef>
          </c:val>
          <c:extLst xmlns:c16r2="http://schemas.microsoft.com/office/drawing/2015/06/chart">
            <c:ext xmlns:c16="http://schemas.microsoft.com/office/drawing/2014/chart" uri="{C3380CC4-5D6E-409C-BE32-E72D297353CC}">
              <c16:uniqueId val="{00000000-F4CC-466C-B9A4-0DA3D7F25341}"/>
            </c:ext>
          </c:extLst>
        </c:ser>
        <c:dLbls>
          <c:showLegendKey val="0"/>
          <c:showVal val="0"/>
          <c:showCatName val="0"/>
          <c:showSerName val="0"/>
          <c:showPercent val="0"/>
          <c:showBubbleSize val="0"/>
        </c:dLbls>
        <c:gapWidth val="150"/>
        <c:axId val="296704000"/>
        <c:axId val="173126720"/>
      </c:barChart>
      <c:catAx>
        <c:axId val="296704000"/>
        <c:scaling>
          <c:orientation val="minMax"/>
        </c:scaling>
        <c:delete val="0"/>
        <c:axPos val="b"/>
        <c:numFmt formatCode="General" sourceLinked="0"/>
        <c:majorTickMark val="none"/>
        <c:minorTickMark val="none"/>
        <c:tickLblPos val="nextTo"/>
        <c:crossAx val="173126720"/>
        <c:crosses val="autoZero"/>
        <c:auto val="1"/>
        <c:lblAlgn val="ctr"/>
        <c:lblOffset val="100"/>
        <c:noMultiLvlLbl val="0"/>
      </c:catAx>
      <c:valAx>
        <c:axId val="173126720"/>
        <c:scaling>
          <c:orientation val="minMax"/>
        </c:scaling>
        <c:delete val="0"/>
        <c:axPos val="l"/>
        <c:majorGridlines/>
        <c:numFmt formatCode="_-* #,##0.00\ [$лв.-402]_-;\-* #,##0.00\ [$лв.-402]_-;_-* &quot;-&quot;??\ [$лв.-402]_-;_-@_-" sourceLinked="1"/>
        <c:majorTickMark val="none"/>
        <c:minorTickMark val="none"/>
        <c:tickLblPos val="nextTo"/>
        <c:crossAx val="296704000"/>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24"/>
    </mc:Choice>
    <mc:Fallback>
      <c:style val="24"/>
    </mc:Fallback>
  </mc:AlternateContent>
  <c:chart>
    <c:autoTitleDeleted val="0"/>
    <c:plotArea>
      <c:layout/>
      <c:barChart>
        <c:barDir val="col"/>
        <c:grouping val="clustered"/>
        <c:varyColors val="0"/>
        <c:ser>
          <c:idx val="0"/>
          <c:order val="0"/>
          <c:invertIfNegative val="0"/>
          <c:dPt>
            <c:idx val="0"/>
            <c:invertIfNegative val="0"/>
            <c:bubble3D val="0"/>
            <c:spPr>
              <a:solidFill>
                <a:srgbClr val="0070C0"/>
              </a:solidFill>
            </c:spPr>
            <c:extLst xmlns:c16r2="http://schemas.microsoft.com/office/drawing/2015/06/chart">
              <c:ext xmlns:c16="http://schemas.microsoft.com/office/drawing/2014/chart" uri="{C3380CC4-5D6E-409C-BE32-E72D297353CC}">
                <c16:uniqueId val="{00000001-C943-4CCF-91D4-CF6129FFC9A0}"/>
              </c:ext>
            </c:extLst>
          </c:dPt>
          <c:dPt>
            <c:idx val="2"/>
            <c:invertIfNegative val="0"/>
            <c:bubble3D val="0"/>
            <c:spPr>
              <a:solidFill>
                <a:srgbClr val="0070C0"/>
              </a:solidFill>
            </c:spPr>
            <c:extLst xmlns:c16r2="http://schemas.microsoft.com/office/drawing/2015/06/chart">
              <c:ext xmlns:c16="http://schemas.microsoft.com/office/drawing/2014/chart" uri="{C3380CC4-5D6E-409C-BE32-E72D297353CC}">
                <c16:uniqueId val="{00000003-C943-4CCF-91D4-CF6129FFC9A0}"/>
              </c:ext>
            </c:extLst>
          </c:dPt>
          <c:dPt>
            <c:idx val="4"/>
            <c:invertIfNegative val="0"/>
            <c:bubble3D val="0"/>
            <c:spPr>
              <a:solidFill>
                <a:srgbClr val="0070C0"/>
              </a:solidFill>
            </c:spPr>
            <c:extLst xmlns:c16r2="http://schemas.microsoft.com/office/drawing/2015/06/chart">
              <c:ext xmlns:c16="http://schemas.microsoft.com/office/drawing/2014/chart" uri="{C3380CC4-5D6E-409C-BE32-E72D297353CC}">
                <c16:uniqueId val="{00000005-C943-4CCF-91D4-CF6129FFC9A0}"/>
              </c:ext>
            </c:extLst>
          </c:dPt>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'19.2'!$M$25:$M$30</c:f>
              <c:strCache>
                <c:ptCount val="6"/>
                <c:pt idx="0">
                  <c:v>брой общини подадени заявления</c:v>
                </c:pt>
                <c:pt idx="1">
                  <c:v>брой общини одобрени заявления</c:v>
                </c:pt>
                <c:pt idx="2">
                  <c:v>територия подадени заявления</c:v>
                </c:pt>
                <c:pt idx="3">
                  <c:v>територия одобрени заявления</c:v>
                </c:pt>
                <c:pt idx="4">
                  <c:v>население подадени заявления</c:v>
                </c:pt>
                <c:pt idx="5">
                  <c:v>население одобрени заявления</c:v>
                </c:pt>
              </c:strCache>
            </c:strRef>
          </c:cat>
          <c:val>
            <c:numRef>
              <c:f>'19.2'!$N$25:$N$30</c:f>
              <c:numCache>
                <c:formatCode>General</c:formatCode>
                <c:ptCount val="6"/>
                <c:pt idx="0">
                  <c:v>99</c:v>
                </c:pt>
                <c:pt idx="1">
                  <c:v>73</c:v>
                </c:pt>
                <c:pt idx="2">
                  <c:v>86</c:v>
                </c:pt>
                <c:pt idx="3">
                  <c:v>62</c:v>
                </c:pt>
                <c:pt idx="4">
                  <c:v>132</c:v>
                </c:pt>
                <c:pt idx="5">
                  <c:v>102</c:v>
                </c:pt>
              </c:numCache>
            </c:numRef>
          </c:val>
          <c:extLst xmlns:c16r2="http://schemas.microsoft.com/office/drawing/2015/06/chart">
            <c:ext xmlns:c16="http://schemas.microsoft.com/office/drawing/2014/chart" uri="{C3380CC4-5D6E-409C-BE32-E72D297353CC}">
              <c16:uniqueId val="{00000006-C943-4CCF-91D4-CF6129FFC9A0}"/>
            </c:ext>
          </c:extLst>
        </c:ser>
        <c:dLbls>
          <c:showLegendKey val="0"/>
          <c:showVal val="0"/>
          <c:showCatName val="0"/>
          <c:showSerName val="0"/>
          <c:showPercent val="0"/>
          <c:showBubbleSize val="0"/>
        </c:dLbls>
        <c:gapWidth val="150"/>
        <c:axId val="156188672"/>
        <c:axId val="121145600"/>
      </c:barChart>
      <c:catAx>
        <c:axId val="156188672"/>
        <c:scaling>
          <c:orientation val="minMax"/>
        </c:scaling>
        <c:delete val="0"/>
        <c:axPos val="b"/>
        <c:numFmt formatCode="General" sourceLinked="0"/>
        <c:majorTickMark val="out"/>
        <c:minorTickMark val="none"/>
        <c:tickLblPos val="nextTo"/>
        <c:crossAx val="121145600"/>
        <c:crosses val="autoZero"/>
        <c:auto val="1"/>
        <c:lblAlgn val="ctr"/>
        <c:lblOffset val="100"/>
        <c:noMultiLvlLbl val="0"/>
      </c:catAx>
      <c:valAx>
        <c:axId val="121145600"/>
        <c:scaling>
          <c:orientation val="minMax"/>
        </c:scaling>
        <c:delete val="0"/>
        <c:axPos val="l"/>
        <c:majorGridlines/>
        <c:numFmt formatCode="General" sourceLinked="1"/>
        <c:majorTickMark val="out"/>
        <c:minorTickMark val="none"/>
        <c:tickLblPos val="nextTo"/>
        <c:crossAx val="156188672"/>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Pt>
            <c:idx val="0"/>
            <c:invertIfNegative val="0"/>
            <c:bubble3D val="0"/>
            <c:spPr>
              <a:solidFill>
                <a:srgbClr val="FFC000"/>
              </a:solidFill>
            </c:spPr>
            <c:extLst xmlns:c16r2="http://schemas.microsoft.com/office/drawing/2015/06/chart">
              <c:ext xmlns:c16="http://schemas.microsoft.com/office/drawing/2014/chart" uri="{C3380CC4-5D6E-409C-BE32-E72D297353CC}">
                <c16:uniqueId val="{00000001-DB11-461A-A079-D57190C2F7C1}"/>
              </c:ext>
            </c:extLst>
          </c:dPt>
          <c:dPt>
            <c:idx val="1"/>
            <c:invertIfNegative val="0"/>
            <c:bubble3D val="0"/>
            <c:spPr>
              <a:solidFill>
                <a:srgbClr val="00B050"/>
              </a:solidFill>
            </c:spPr>
            <c:extLst xmlns:c16r2="http://schemas.microsoft.com/office/drawing/2015/06/chart">
              <c:ext xmlns:c16="http://schemas.microsoft.com/office/drawing/2014/chart" uri="{C3380CC4-5D6E-409C-BE32-E72D297353CC}">
                <c16:uniqueId val="{00000003-DB11-461A-A079-D57190C2F7C1}"/>
              </c:ext>
            </c:extLst>
          </c:dPt>
          <c:dPt>
            <c:idx val="3"/>
            <c:invertIfNegative val="0"/>
            <c:bubble3D val="0"/>
            <c:spPr>
              <a:solidFill>
                <a:srgbClr val="FF0000"/>
              </a:solidFill>
            </c:spPr>
            <c:extLst xmlns:c16r2="http://schemas.microsoft.com/office/drawing/2015/06/chart">
              <c:ext xmlns:c16="http://schemas.microsoft.com/office/drawing/2014/chart" uri="{C3380CC4-5D6E-409C-BE32-E72D297353CC}">
                <c16:uniqueId val="{00000005-DB11-461A-A079-D57190C2F7C1}"/>
              </c:ext>
            </c:extLst>
          </c:dPt>
          <c:dPt>
            <c:idx val="4"/>
            <c:invertIfNegative val="0"/>
            <c:bubble3D val="0"/>
            <c:spPr>
              <a:solidFill>
                <a:srgbClr val="FFFF00"/>
              </a:solidFill>
            </c:spPr>
            <c:extLst xmlns:c16r2="http://schemas.microsoft.com/office/drawing/2015/06/chart">
              <c:ext xmlns:c16="http://schemas.microsoft.com/office/drawing/2014/chart" uri="{C3380CC4-5D6E-409C-BE32-E72D297353CC}">
                <c16:uniqueId val="{00000007-DB11-461A-A079-D57190C2F7C1}"/>
              </c:ext>
            </c:extLst>
          </c:dPt>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'19.2'!$A$24:$A$28</c:f>
              <c:strCache>
                <c:ptCount val="5"/>
                <c:pt idx="0">
                  <c:v>ПРСР</c:v>
                </c:pt>
                <c:pt idx="1">
                  <c:v>ОПРЧР</c:v>
                </c:pt>
                <c:pt idx="2">
                  <c:v>ОПИК</c:v>
                </c:pt>
                <c:pt idx="3">
                  <c:v>ОПНОИР</c:v>
                </c:pt>
                <c:pt idx="4">
                  <c:v>ОПОС</c:v>
                </c:pt>
              </c:strCache>
            </c:strRef>
          </c:cat>
          <c:val>
            <c:numRef>
              <c:f>'19.2'!$B$24:$B$28</c:f>
              <c:numCache>
                <c:formatCode>General</c:formatCode>
                <c:ptCount val="5"/>
                <c:pt idx="0">
                  <c:v>70</c:v>
                </c:pt>
                <c:pt idx="1">
                  <c:v>47</c:v>
                </c:pt>
                <c:pt idx="2">
                  <c:v>36</c:v>
                </c:pt>
                <c:pt idx="3">
                  <c:v>23</c:v>
                </c:pt>
                <c:pt idx="4">
                  <c:v>14</c:v>
                </c:pt>
              </c:numCache>
            </c:numRef>
          </c:val>
          <c:extLst xmlns:c16r2="http://schemas.microsoft.com/office/drawing/2015/06/chart">
            <c:ext xmlns:c16="http://schemas.microsoft.com/office/drawing/2014/chart" uri="{C3380CC4-5D6E-409C-BE32-E72D297353CC}">
              <c16:uniqueId val="{00000008-DB11-461A-A079-D57190C2F7C1}"/>
            </c:ext>
          </c:extLst>
        </c:ser>
        <c:dLbls>
          <c:showLegendKey val="0"/>
          <c:showVal val="0"/>
          <c:showCatName val="0"/>
          <c:showSerName val="0"/>
          <c:showPercent val="0"/>
          <c:showBubbleSize val="0"/>
        </c:dLbls>
        <c:gapWidth val="150"/>
        <c:shape val="cylinder"/>
        <c:axId val="156189696"/>
        <c:axId val="121147328"/>
        <c:axId val="0"/>
      </c:bar3DChart>
      <c:catAx>
        <c:axId val="156189696"/>
        <c:scaling>
          <c:orientation val="minMax"/>
        </c:scaling>
        <c:delete val="0"/>
        <c:axPos val="b"/>
        <c:numFmt formatCode="General" sourceLinked="0"/>
        <c:majorTickMark val="out"/>
        <c:minorTickMark val="none"/>
        <c:tickLblPos val="nextTo"/>
        <c:crossAx val="121147328"/>
        <c:crosses val="autoZero"/>
        <c:auto val="1"/>
        <c:lblAlgn val="ctr"/>
        <c:lblOffset val="100"/>
        <c:noMultiLvlLbl val="0"/>
      </c:catAx>
      <c:valAx>
        <c:axId val="121147328"/>
        <c:scaling>
          <c:orientation val="minMax"/>
        </c:scaling>
        <c:delete val="0"/>
        <c:axPos val="l"/>
        <c:majorGridlines/>
        <c:numFmt formatCode="General" sourceLinked="1"/>
        <c:majorTickMark val="out"/>
        <c:minorTickMark val="none"/>
        <c:tickLblPos val="nextTo"/>
        <c:crossAx val="156189696"/>
        <c:crosses val="autoZero"/>
        <c:crossBetween val="between"/>
      </c:valAx>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Pt>
            <c:idx val="0"/>
            <c:invertIfNegative val="0"/>
            <c:bubble3D val="0"/>
            <c:spPr>
              <a:solidFill>
                <a:srgbClr val="FFC000"/>
              </a:solidFill>
            </c:spPr>
            <c:extLst xmlns:c16r2="http://schemas.microsoft.com/office/drawing/2015/06/chart">
              <c:ext xmlns:c16="http://schemas.microsoft.com/office/drawing/2014/chart" uri="{C3380CC4-5D6E-409C-BE32-E72D297353CC}">
                <c16:uniqueId val="{00000001-2A9B-4EE2-97CC-729910217B90}"/>
              </c:ext>
            </c:extLst>
          </c:dPt>
          <c:dPt>
            <c:idx val="1"/>
            <c:invertIfNegative val="0"/>
            <c:bubble3D val="0"/>
            <c:spPr>
              <a:gradFill>
                <a:gsLst>
                  <a:gs pos="0">
                    <a:srgbClr val="000082"/>
                  </a:gs>
                  <a:gs pos="30000">
                    <a:srgbClr val="66008F"/>
                  </a:gs>
                  <a:gs pos="64999">
                    <a:srgbClr val="BA0066"/>
                  </a:gs>
                  <a:gs pos="89999">
                    <a:srgbClr val="FF0000"/>
                  </a:gs>
                  <a:gs pos="100000">
                    <a:srgbClr val="FF8200"/>
                  </a:gs>
                </a:gsLst>
                <a:lin ang="5400000" scaled="0"/>
              </a:gradFill>
            </c:spPr>
            <c:extLst xmlns:c16r2="http://schemas.microsoft.com/office/drawing/2015/06/chart">
              <c:ext xmlns:c16="http://schemas.microsoft.com/office/drawing/2014/chart" uri="{C3380CC4-5D6E-409C-BE32-E72D297353CC}">
                <c16:uniqueId val="{00000003-2A9B-4EE2-97CC-729910217B90}"/>
              </c:ext>
            </c:extLst>
          </c:dPt>
          <c:dPt>
            <c:idx val="2"/>
            <c:invertIfNegative val="0"/>
            <c:bubble3D val="0"/>
            <c:spPr>
              <a:gradFill>
                <a:gsLst>
                  <a:gs pos="0">
                    <a:srgbClr val="000082"/>
                  </a:gs>
                  <a:gs pos="29000">
                    <a:srgbClr val="A20072"/>
                  </a:gs>
                  <a:gs pos="13000">
                    <a:srgbClr val="66008F"/>
                  </a:gs>
                  <a:gs pos="52000">
                    <a:srgbClr val="BA0066"/>
                  </a:gs>
                  <a:gs pos="65000">
                    <a:srgbClr val="FF0000"/>
                  </a:gs>
                  <a:gs pos="91000">
                    <a:srgbClr val="FF8200"/>
                  </a:gs>
                </a:gsLst>
                <a:lin ang="5400000" scaled="0"/>
              </a:gradFill>
            </c:spPr>
            <c:extLst xmlns:c16r2="http://schemas.microsoft.com/office/drawing/2015/06/chart">
              <c:ext xmlns:c16="http://schemas.microsoft.com/office/drawing/2014/chart" uri="{C3380CC4-5D6E-409C-BE32-E72D297353CC}">
                <c16:uniqueId val="{00000005-2A9B-4EE2-97CC-729910217B90}"/>
              </c:ext>
            </c:extLst>
          </c:dPt>
          <c:dPt>
            <c:idx val="3"/>
            <c:invertIfNegative val="0"/>
            <c:bubble3D val="0"/>
            <c:spPr>
              <a:gradFill>
                <a:gsLst>
                  <a:gs pos="0">
                    <a:schemeClr val="tx2">
                      <a:lumMod val="60000"/>
                      <a:lumOff val="40000"/>
                    </a:schemeClr>
                  </a:gs>
                  <a:gs pos="9000">
                    <a:srgbClr val="71008A"/>
                  </a:gs>
                  <a:gs pos="24000">
                    <a:srgbClr val="A20072"/>
                  </a:gs>
                  <a:gs pos="13000">
                    <a:srgbClr val="66008F"/>
                  </a:gs>
                  <a:gs pos="38000">
                    <a:srgbClr val="BA0066"/>
                  </a:gs>
                  <a:gs pos="52000">
                    <a:srgbClr val="FF0000"/>
                  </a:gs>
                  <a:gs pos="5004">
                    <a:srgbClr val="653FAB"/>
                  </a:gs>
                  <a:gs pos="71000">
                    <a:srgbClr val="FF8200"/>
                  </a:gs>
                </a:gsLst>
                <a:lin ang="5400000" scaled="0"/>
              </a:gradFill>
            </c:spPr>
            <c:extLst xmlns:c16r2="http://schemas.microsoft.com/office/drawing/2015/06/chart">
              <c:ext xmlns:c16="http://schemas.microsoft.com/office/drawing/2014/chart" uri="{C3380CC4-5D6E-409C-BE32-E72D297353CC}">
                <c16:uniqueId val="{00000007-2A9B-4EE2-97CC-729910217B90}"/>
              </c:ext>
            </c:extLst>
          </c:dPt>
          <c:dPt>
            <c:idx val="4"/>
            <c:invertIfNegative val="0"/>
            <c:bubble3D val="0"/>
            <c:spPr>
              <a:gradFill>
                <a:gsLst>
                  <a:gs pos="24175">
                    <a:srgbClr val="B08362"/>
                  </a:gs>
                  <a:gs pos="33345">
                    <a:srgbClr val="D37F37"/>
                  </a:gs>
                  <a:gs pos="0">
                    <a:schemeClr val="tx2">
                      <a:lumMod val="60000"/>
                      <a:lumOff val="40000"/>
                    </a:schemeClr>
                  </a:gs>
                  <a:gs pos="45000">
                    <a:srgbClr val="FF7A00"/>
                  </a:gs>
                  <a:gs pos="70000">
                    <a:srgbClr val="FF0300"/>
                  </a:gs>
                  <a:gs pos="100000">
                    <a:srgbClr val="4D0808"/>
                  </a:gs>
                </a:gsLst>
                <a:lin ang="5400000" scaled="0"/>
              </a:gradFill>
            </c:spPr>
            <c:extLst xmlns:c16r2="http://schemas.microsoft.com/office/drawing/2015/06/chart">
              <c:ext xmlns:c16="http://schemas.microsoft.com/office/drawing/2014/chart" uri="{C3380CC4-5D6E-409C-BE32-E72D297353CC}">
                <c16:uniqueId val="{00000009-2A9B-4EE2-97CC-729910217B90}"/>
              </c:ext>
            </c:extLst>
          </c:dPt>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'19.2'!$D$29:$H$29</c:f>
              <c:strCache>
                <c:ptCount val="5"/>
                <c:pt idx="0">
                  <c:v>ПРСР</c:v>
                </c:pt>
                <c:pt idx="1">
                  <c:v>ПРСР + 1 ОП</c:v>
                </c:pt>
                <c:pt idx="2">
                  <c:v>ПРСР + 2 ОП</c:v>
                </c:pt>
                <c:pt idx="3">
                  <c:v>ПРСР + 3 ОП</c:v>
                </c:pt>
                <c:pt idx="4">
                  <c:v>ПРСР + 4 ОП</c:v>
                </c:pt>
              </c:strCache>
            </c:strRef>
          </c:cat>
          <c:val>
            <c:numRef>
              <c:f>'19.2'!$D$30:$H$30</c:f>
              <c:numCache>
                <c:formatCode>0</c:formatCode>
                <c:ptCount val="5"/>
                <c:pt idx="0">
                  <c:v>19</c:v>
                </c:pt>
                <c:pt idx="1">
                  <c:v>9</c:v>
                </c:pt>
                <c:pt idx="2">
                  <c:v>21</c:v>
                </c:pt>
                <c:pt idx="3">
                  <c:v>15</c:v>
                </c:pt>
                <c:pt idx="4">
                  <c:v>6</c:v>
                </c:pt>
              </c:numCache>
            </c:numRef>
          </c:val>
          <c:extLst xmlns:c16r2="http://schemas.microsoft.com/office/drawing/2015/06/chart">
            <c:ext xmlns:c16="http://schemas.microsoft.com/office/drawing/2014/chart" uri="{C3380CC4-5D6E-409C-BE32-E72D297353CC}">
              <c16:uniqueId val="{0000000A-2A9B-4EE2-97CC-729910217B90}"/>
            </c:ext>
          </c:extLst>
        </c:ser>
        <c:dLbls>
          <c:showLegendKey val="0"/>
          <c:showVal val="0"/>
          <c:showCatName val="0"/>
          <c:showSerName val="0"/>
          <c:showPercent val="0"/>
          <c:showBubbleSize val="0"/>
        </c:dLbls>
        <c:gapWidth val="150"/>
        <c:shape val="cylinder"/>
        <c:axId val="156189184"/>
        <c:axId val="121149632"/>
        <c:axId val="0"/>
      </c:bar3DChart>
      <c:catAx>
        <c:axId val="156189184"/>
        <c:scaling>
          <c:orientation val="minMax"/>
        </c:scaling>
        <c:delete val="0"/>
        <c:axPos val="b"/>
        <c:numFmt formatCode="General" sourceLinked="0"/>
        <c:majorTickMark val="out"/>
        <c:minorTickMark val="none"/>
        <c:tickLblPos val="nextTo"/>
        <c:crossAx val="121149632"/>
        <c:crosses val="autoZero"/>
        <c:auto val="1"/>
        <c:lblAlgn val="ctr"/>
        <c:lblOffset val="100"/>
        <c:noMultiLvlLbl val="0"/>
      </c:catAx>
      <c:valAx>
        <c:axId val="121149632"/>
        <c:scaling>
          <c:orientation val="minMax"/>
        </c:scaling>
        <c:delete val="0"/>
        <c:axPos val="l"/>
        <c:majorGridlines/>
        <c:numFmt formatCode="0" sourceLinked="1"/>
        <c:majorTickMark val="out"/>
        <c:minorTickMark val="none"/>
        <c:tickLblPos val="nextTo"/>
        <c:crossAx val="156189184"/>
        <c:crosses val="autoZero"/>
        <c:crossBetween val="between"/>
      </c:valAx>
    </c:plotArea>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24"/>
    </mc:Choice>
    <mc:Fallback>
      <c:style val="24"/>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invertIfNegative val="0"/>
          <c:dPt>
            <c:idx val="0"/>
            <c:invertIfNegative val="0"/>
            <c:bubble3D val="0"/>
            <c:spPr>
              <a:solidFill>
                <a:srgbClr val="0070C0"/>
              </a:solidFill>
            </c:spPr>
            <c:extLst xmlns:c16r2="http://schemas.microsoft.com/office/drawing/2015/06/chart">
              <c:ext xmlns:c16="http://schemas.microsoft.com/office/drawing/2014/chart" uri="{C3380CC4-5D6E-409C-BE32-E72D297353CC}">
                <c16:uniqueId val="{00000001-5638-4640-AC4C-109126B91073}"/>
              </c:ext>
            </c:extLst>
          </c:dPt>
          <c:dPt>
            <c:idx val="2"/>
            <c:invertIfNegative val="0"/>
            <c:bubble3D val="0"/>
            <c:spPr>
              <a:solidFill>
                <a:srgbClr val="0070C0"/>
              </a:solidFill>
            </c:spPr>
            <c:extLst xmlns:c16r2="http://schemas.microsoft.com/office/drawing/2015/06/chart">
              <c:ext xmlns:c16="http://schemas.microsoft.com/office/drawing/2014/chart" uri="{C3380CC4-5D6E-409C-BE32-E72D297353CC}">
                <c16:uniqueId val="{00000003-5638-4640-AC4C-109126B91073}"/>
              </c:ext>
            </c:extLst>
          </c:dPt>
          <c:dPt>
            <c:idx val="4"/>
            <c:invertIfNegative val="0"/>
            <c:bubble3D val="0"/>
            <c:spPr>
              <a:solidFill>
                <a:srgbClr val="0070C0"/>
              </a:solidFill>
            </c:spPr>
            <c:extLst xmlns:c16r2="http://schemas.microsoft.com/office/drawing/2015/06/chart">
              <c:ext xmlns:c16="http://schemas.microsoft.com/office/drawing/2014/chart" uri="{C3380CC4-5D6E-409C-BE32-E72D297353CC}">
                <c16:uniqueId val="{00000005-5638-4640-AC4C-109126B91073}"/>
              </c:ext>
            </c:extLst>
          </c:dPt>
          <c:dLbls>
            <c:dLbl>
              <c:idx val="2"/>
              <c:tx>
                <c:rich>
                  <a:bodyPr/>
                  <a:lstStyle/>
                  <a:p>
                    <a:r>
                      <a:rPr lang="bg-BG"/>
                      <a:t>52 358 кв. км.</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5638-4640-AC4C-109126B91073}"/>
                </c:ext>
              </c:extLst>
            </c:dLbl>
            <c:dLbl>
              <c:idx val="3"/>
              <c:tx>
                <c:rich>
                  <a:bodyPr/>
                  <a:lstStyle/>
                  <a:p>
                    <a:r>
                      <a:rPr lang="bg-BG"/>
                      <a:t>22 203 кв. км.</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5638-4640-AC4C-109126B91073}"/>
                </c:ext>
              </c:extLst>
            </c:dLbl>
            <c:dLbl>
              <c:idx val="4"/>
              <c:tx>
                <c:rich>
                  <a:bodyPr/>
                  <a:lstStyle/>
                  <a:p>
                    <a:r>
                      <a:rPr lang="bg-BG"/>
                      <a:t>1 509 106 ж.</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5638-4640-AC4C-109126B91073}"/>
                </c:ext>
              </c:extLst>
            </c:dLbl>
            <c:dLbl>
              <c:idx val="5"/>
              <c:tx>
                <c:rich>
                  <a:bodyPr/>
                  <a:lstStyle/>
                  <a:p>
                    <a:r>
                      <a:rPr lang="bg-BG"/>
                      <a:t>619 026 ж.</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5638-4640-AC4C-109126B91073}"/>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'19.2'!$M$14:$M$19</c:f>
              <c:strCache>
                <c:ptCount val="6"/>
                <c:pt idx="0">
                  <c:v>брой общини подадени заявления</c:v>
                </c:pt>
                <c:pt idx="1">
                  <c:v>брой общини одобрени заявления</c:v>
                </c:pt>
                <c:pt idx="2">
                  <c:v>територия подадени заявления</c:v>
                </c:pt>
                <c:pt idx="3">
                  <c:v>територия одобрени заявления</c:v>
                </c:pt>
                <c:pt idx="4">
                  <c:v>население подадени заявления</c:v>
                </c:pt>
                <c:pt idx="5">
                  <c:v>население одобрени заявления</c:v>
                </c:pt>
              </c:strCache>
            </c:strRef>
          </c:cat>
          <c:val>
            <c:numRef>
              <c:f>'19.2'!$N$14:$N$19</c:f>
              <c:numCache>
                <c:formatCode>General</c:formatCode>
                <c:ptCount val="6"/>
                <c:pt idx="0">
                  <c:v>122</c:v>
                </c:pt>
                <c:pt idx="1">
                  <c:v>44</c:v>
                </c:pt>
                <c:pt idx="2">
                  <c:v>104</c:v>
                </c:pt>
                <c:pt idx="3">
                  <c:v>44</c:v>
                </c:pt>
                <c:pt idx="4">
                  <c:v>150</c:v>
                </c:pt>
                <c:pt idx="5">
                  <c:v>62</c:v>
                </c:pt>
              </c:numCache>
            </c:numRef>
          </c:val>
          <c:extLst xmlns:c16r2="http://schemas.microsoft.com/office/drawing/2015/06/chart">
            <c:ext xmlns:c16="http://schemas.microsoft.com/office/drawing/2014/chart" uri="{C3380CC4-5D6E-409C-BE32-E72D297353CC}">
              <c16:uniqueId val="{00000008-5638-4640-AC4C-109126B91073}"/>
            </c:ext>
          </c:extLst>
        </c:ser>
        <c:dLbls>
          <c:showLegendKey val="0"/>
          <c:showVal val="0"/>
          <c:showCatName val="0"/>
          <c:showSerName val="0"/>
          <c:showPercent val="0"/>
          <c:showBubbleSize val="0"/>
        </c:dLbls>
        <c:gapWidth val="150"/>
        <c:axId val="221516288"/>
        <c:axId val="133063808"/>
      </c:barChart>
      <c:catAx>
        <c:axId val="221516288"/>
        <c:scaling>
          <c:orientation val="minMax"/>
        </c:scaling>
        <c:delete val="0"/>
        <c:axPos val="b"/>
        <c:numFmt formatCode="General" sourceLinked="0"/>
        <c:majorTickMark val="out"/>
        <c:minorTickMark val="none"/>
        <c:tickLblPos val="nextTo"/>
        <c:crossAx val="133063808"/>
        <c:crosses val="autoZero"/>
        <c:auto val="1"/>
        <c:lblAlgn val="ctr"/>
        <c:lblOffset val="100"/>
        <c:noMultiLvlLbl val="0"/>
      </c:catAx>
      <c:valAx>
        <c:axId val="133063808"/>
        <c:scaling>
          <c:orientation val="minMax"/>
        </c:scaling>
        <c:delete val="0"/>
        <c:axPos val="l"/>
        <c:majorGridlines/>
        <c:numFmt formatCode="General" sourceLinked="1"/>
        <c:majorTickMark val="out"/>
        <c:minorTickMark val="none"/>
        <c:tickLblPos val="nextTo"/>
        <c:crossAx val="221516288"/>
        <c:crosses val="autoZero"/>
        <c:crossBetween val="between"/>
      </c:valAx>
    </c:plotArea>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'19.3'!$A$73:$A$77</c:f>
              <c:strCache>
                <c:ptCount val="5"/>
                <c:pt idx="0">
                  <c:v>одобрени процедури</c:v>
                </c:pt>
                <c:pt idx="1">
                  <c:v>анулирани процедури</c:v>
                </c:pt>
                <c:pt idx="2">
                  <c:v>процедури в процес на обработка</c:v>
                </c:pt>
                <c:pt idx="3">
                  <c:v>отхвърлени процедури</c:v>
                </c:pt>
                <c:pt idx="4">
                  <c:v>рестартирани процедури</c:v>
                </c:pt>
              </c:strCache>
            </c:strRef>
          </c:cat>
          <c:val>
            <c:numRef>
              <c:f>'19.3'!$B$73:$B$77</c:f>
              <c:numCache>
                <c:formatCode>General</c:formatCode>
                <c:ptCount val="5"/>
                <c:pt idx="0">
                  <c:v>470</c:v>
                </c:pt>
                <c:pt idx="1">
                  <c:v>1</c:v>
                </c:pt>
                <c:pt idx="2">
                  <c:v>46</c:v>
                </c:pt>
                <c:pt idx="3">
                  <c:v>20</c:v>
                </c:pt>
                <c:pt idx="4">
                  <c:v>9</c:v>
                </c:pt>
              </c:numCache>
            </c:numRef>
          </c:val>
          <c:extLst xmlns:c16r2="http://schemas.microsoft.com/office/drawing/2015/06/chart">
            <c:ext xmlns:c16="http://schemas.microsoft.com/office/drawing/2014/chart" uri="{C3380CC4-5D6E-409C-BE32-E72D297353CC}">
              <c16:uniqueId val="{00000000-401C-49D4-9312-7EA70DFF53B7}"/>
            </c:ext>
          </c:extLst>
        </c:ser>
        <c:dLbls>
          <c:showLegendKey val="0"/>
          <c:showVal val="0"/>
          <c:showCatName val="0"/>
          <c:showSerName val="0"/>
          <c:showPercent val="0"/>
          <c:showBubbleSize val="0"/>
        </c:dLbls>
        <c:gapWidth val="150"/>
        <c:axId val="156191744"/>
        <c:axId val="133064384"/>
      </c:barChart>
      <c:catAx>
        <c:axId val="156191744"/>
        <c:scaling>
          <c:orientation val="minMax"/>
        </c:scaling>
        <c:delete val="0"/>
        <c:axPos val="b"/>
        <c:numFmt formatCode="General" sourceLinked="0"/>
        <c:majorTickMark val="out"/>
        <c:minorTickMark val="none"/>
        <c:tickLblPos val="nextTo"/>
        <c:crossAx val="133064384"/>
        <c:crosses val="autoZero"/>
        <c:auto val="1"/>
        <c:lblAlgn val="ctr"/>
        <c:lblOffset val="100"/>
        <c:noMultiLvlLbl val="0"/>
      </c:catAx>
      <c:valAx>
        <c:axId val="133064384"/>
        <c:scaling>
          <c:orientation val="minMax"/>
        </c:scaling>
        <c:delete val="0"/>
        <c:axPos val="l"/>
        <c:majorGridlines/>
        <c:numFmt formatCode="General" sourceLinked="1"/>
        <c:majorTickMark val="out"/>
        <c:minorTickMark val="none"/>
        <c:tickLblPos val="nextTo"/>
        <c:crossAx val="156191744"/>
        <c:crosses val="autoZero"/>
        <c:crossBetween val="between"/>
      </c:valAx>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24"/>
    </mc:Choice>
    <mc:Fallback>
      <c:style val="24"/>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'19.2'!$A$70:$A$77</c:f>
              <c:strCache>
                <c:ptCount val="8"/>
                <c:pt idx="0">
                  <c:v>мярка 7.2</c:v>
                </c:pt>
                <c:pt idx="1">
                  <c:v>мярка 4.1</c:v>
                </c:pt>
                <c:pt idx="2">
                  <c:v>мерки, разработени от МИГ</c:v>
                </c:pt>
                <c:pt idx="3">
                  <c:v>мярка 6.4</c:v>
                </c:pt>
                <c:pt idx="4">
                  <c:v>мярка 7.5</c:v>
                </c:pt>
                <c:pt idx="5">
                  <c:v>мярка 4.2</c:v>
                </c:pt>
                <c:pt idx="6">
                  <c:v>мярка 7.6</c:v>
                </c:pt>
                <c:pt idx="7">
                  <c:v>мярка 8.6</c:v>
                </c:pt>
              </c:strCache>
            </c:strRef>
          </c:cat>
          <c:val>
            <c:numRef>
              <c:f>'19.2'!$B$70:$B$77</c:f>
              <c:numCache>
                <c:formatCode>General</c:formatCode>
                <c:ptCount val="8"/>
                <c:pt idx="0">
                  <c:v>200</c:v>
                </c:pt>
                <c:pt idx="1">
                  <c:v>175</c:v>
                </c:pt>
                <c:pt idx="2">
                  <c:v>67</c:v>
                </c:pt>
                <c:pt idx="3">
                  <c:v>53</c:v>
                </c:pt>
                <c:pt idx="4">
                  <c:v>42</c:v>
                </c:pt>
                <c:pt idx="5">
                  <c:v>41</c:v>
                </c:pt>
                <c:pt idx="6">
                  <c:v>9</c:v>
                </c:pt>
                <c:pt idx="7">
                  <c:v>7</c:v>
                </c:pt>
              </c:numCache>
            </c:numRef>
          </c:val>
          <c:extLst xmlns:c16r2="http://schemas.microsoft.com/office/drawing/2015/06/chart">
            <c:ext xmlns:c16="http://schemas.microsoft.com/office/drawing/2014/chart" uri="{C3380CC4-5D6E-409C-BE32-E72D297353CC}">
              <c16:uniqueId val="{00000000-F380-4596-8338-33965D528767}"/>
            </c:ext>
          </c:extLst>
        </c:ser>
        <c:dLbls>
          <c:showLegendKey val="0"/>
          <c:showVal val="0"/>
          <c:showCatName val="0"/>
          <c:showSerName val="0"/>
          <c:showPercent val="0"/>
          <c:showBubbleSize val="0"/>
        </c:dLbls>
        <c:gapWidth val="150"/>
        <c:axId val="156261888"/>
        <c:axId val="133067264"/>
      </c:barChart>
      <c:catAx>
        <c:axId val="156261888"/>
        <c:scaling>
          <c:orientation val="minMax"/>
        </c:scaling>
        <c:delete val="0"/>
        <c:axPos val="b"/>
        <c:numFmt formatCode="General" sourceLinked="0"/>
        <c:majorTickMark val="out"/>
        <c:minorTickMark val="none"/>
        <c:tickLblPos val="nextTo"/>
        <c:crossAx val="133067264"/>
        <c:crosses val="autoZero"/>
        <c:auto val="1"/>
        <c:lblAlgn val="ctr"/>
        <c:lblOffset val="100"/>
        <c:noMultiLvlLbl val="0"/>
      </c:catAx>
      <c:valAx>
        <c:axId val="133067264"/>
        <c:scaling>
          <c:orientation val="minMax"/>
        </c:scaling>
        <c:delete val="0"/>
        <c:axPos val="l"/>
        <c:majorGridlines/>
        <c:numFmt formatCode="General" sourceLinked="1"/>
        <c:majorTickMark val="out"/>
        <c:minorTickMark val="none"/>
        <c:tickLblPos val="nextTo"/>
        <c:crossAx val="156261888"/>
        <c:crosses val="autoZero"/>
        <c:crossBetween val="between"/>
      </c:valAx>
    </c:plotArea>
    <c:plotVisOnly val="1"/>
    <c:dispBlanksAs val="gap"/>
    <c:showDLblsOverMax val="0"/>
  </c:chart>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0.12541</cdr:x>
      <cdr:y>0.12978</cdr:y>
    </cdr:from>
    <cdr:to>
      <cdr:x>0.23127</cdr:x>
      <cdr:y>0.20742</cdr:y>
    </cdr:to>
    <cdr:sp macro="" textlink="">
      <cdr:nvSpPr>
        <cdr:cNvPr id="2" name="Text Box 1"/>
        <cdr:cNvSpPr txBox="1"/>
      </cdr:nvSpPr>
      <cdr:spPr>
        <a:xfrm xmlns:a="http://schemas.openxmlformats.org/drawingml/2006/main">
          <a:off x="733425" y="498169"/>
          <a:ext cx="619125" cy="29802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bg-BG" sz="800" b="1"/>
            <a:t>74,16%</a:t>
          </a:r>
          <a:endParaRPr lang="en-GB" sz="800" b="1"/>
        </a:p>
      </cdr:txBody>
    </cdr:sp>
  </cdr:relSizeAnchor>
  <cdr:relSizeAnchor xmlns:cdr="http://schemas.openxmlformats.org/drawingml/2006/chartDrawing">
    <cdr:from>
      <cdr:x>0.14875</cdr:x>
      <cdr:y>0.39545</cdr:y>
    </cdr:from>
    <cdr:to>
      <cdr:x>0.25461</cdr:x>
      <cdr:y>0.47308</cdr:y>
    </cdr:to>
    <cdr:sp macro="" textlink="">
      <cdr:nvSpPr>
        <cdr:cNvPr id="3" name="Text Box 1"/>
        <cdr:cNvSpPr txBox="1"/>
      </cdr:nvSpPr>
      <cdr:spPr>
        <a:xfrm xmlns:a="http://schemas.openxmlformats.org/drawingml/2006/main">
          <a:off x="869950" y="1212850"/>
          <a:ext cx="619125" cy="238125"/>
        </a:xfrm>
        <a:prstGeom xmlns:a="http://schemas.openxmlformats.org/drawingml/2006/main" prst="rect">
          <a:avLst/>
        </a:prstGeom>
      </cdr:spPr>
    </cdr:sp>
  </cdr:relSizeAnchor>
  <cdr:relSizeAnchor xmlns:cdr="http://schemas.openxmlformats.org/drawingml/2006/chartDrawing">
    <cdr:from>
      <cdr:x>0.07003</cdr:x>
      <cdr:y>0.06203</cdr:y>
    </cdr:from>
    <cdr:to>
      <cdr:x>0.31926</cdr:x>
      <cdr:y>0.12207</cdr:y>
    </cdr:to>
    <cdr:sp macro="" textlink="">
      <cdr:nvSpPr>
        <cdr:cNvPr id="5" name="Text Box 4"/>
        <cdr:cNvSpPr txBox="1"/>
      </cdr:nvSpPr>
      <cdr:spPr>
        <a:xfrm xmlns:a="http://schemas.openxmlformats.org/drawingml/2006/main">
          <a:off x="369805" y="242006"/>
          <a:ext cx="1316120" cy="23424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bg-BG" sz="800" b="1"/>
            <a:t>%</a:t>
          </a:r>
          <a:r>
            <a:rPr lang="bg-BG" sz="800" b="1" baseline="0"/>
            <a:t> на одобрение</a:t>
          </a:r>
          <a:endParaRPr lang="en-GB" sz="800" b="1"/>
        </a:p>
      </cdr:txBody>
    </cdr:sp>
  </cdr:relSizeAnchor>
  <cdr:relSizeAnchor xmlns:cdr="http://schemas.openxmlformats.org/drawingml/2006/chartDrawing">
    <cdr:from>
      <cdr:x>0.34691</cdr:x>
      <cdr:y>0.13151</cdr:y>
    </cdr:from>
    <cdr:to>
      <cdr:x>0.4316</cdr:x>
      <cdr:y>0.17866</cdr:y>
    </cdr:to>
    <cdr:sp macro="" textlink="">
      <cdr:nvSpPr>
        <cdr:cNvPr id="6" name="Text Box 5"/>
        <cdr:cNvSpPr txBox="1"/>
      </cdr:nvSpPr>
      <cdr:spPr>
        <a:xfrm xmlns:a="http://schemas.openxmlformats.org/drawingml/2006/main">
          <a:off x="2028825" y="504825"/>
          <a:ext cx="495300" cy="1809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bg-BG" sz="800" b="1"/>
            <a:t>73,91%</a:t>
          </a:r>
          <a:endParaRPr lang="en-GB" sz="800" b="1"/>
        </a:p>
      </cdr:txBody>
    </cdr:sp>
  </cdr:relSizeAnchor>
  <cdr:relSizeAnchor xmlns:cdr="http://schemas.openxmlformats.org/drawingml/2006/chartDrawing">
    <cdr:from>
      <cdr:x>0.58958</cdr:x>
      <cdr:y>0.13151</cdr:y>
    </cdr:from>
    <cdr:to>
      <cdr:x>0.69055</cdr:x>
      <cdr:y>0.17618</cdr:y>
    </cdr:to>
    <cdr:sp macro="" textlink="">
      <cdr:nvSpPr>
        <cdr:cNvPr id="7" name="Text Box 6"/>
        <cdr:cNvSpPr txBox="1"/>
      </cdr:nvSpPr>
      <cdr:spPr>
        <a:xfrm xmlns:a="http://schemas.openxmlformats.org/drawingml/2006/main">
          <a:off x="3448050" y="504825"/>
          <a:ext cx="590550" cy="1714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bg-BG" sz="800" b="1"/>
            <a:t>75,97%</a:t>
          </a:r>
          <a:endParaRPr lang="en-GB" sz="800" b="1"/>
        </a:p>
      </cdr:txBody>
    </cdr:sp>
  </cdr:relSizeAnchor>
  <cdr:relSizeAnchor xmlns:cdr="http://schemas.openxmlformats.org/drawingml/2006/chartDrawing">
    <cdr:from>
      <cdr:x>0.84039</cdr:x>
      <cdr:y>0.12903</cdr:y>
    </cdr:from>
    <cdr:to>
      <cdr:x>0.95928</cdr:x>
      <cdr:y>0.17122</cdr:y>
    </cdr:to>
    <cdr:sp macro="" textlink="">
      <cdr:nvSpPr>
        <cdr:cNvPr id="8" name="Text Box 7"/>
        <cdr:cNvSpPr txBox="1"/>
      </cdr:nvSpPr>
      <cdr:spPr>
        <a:xfrm xmlns:a="http://schemas.openxmlformats.org/drawingml/2006/main">
          <a:off x="4914900" y="495300"/>
          <a:ext cx="695325" cy="1619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bg-BG" sz="800" b="1"/>
            <a:t>76,54%</a:t>
          </a:r>
          <a:endParaRPr lang="en-GB" sz="800" b="1"/>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8F4060-5DD5-4D35-9174-A0EE955702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155</Pages>
  <Words>36103</Words>
  <Characters>205788</Characters>
  <Application>Microsoft Office Word</Application>
  <DocSecurity>0</DocSecurity>
  <Lines>1714</Lines>
  <Paragraphs>482</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241409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Svetla Bachvarova</dc:creator>
  <cp:lastModifiedBy>PC</cp:lastModifiedBy>
  <cp:revision>2</cp:revision>
  <cp:lastPrinted>2021-12-06T11:19:00Z</cp:lastPrinted>
  <dcterms:created xsi:type="dcterms:W3CDTF">2022-02-28T14:45:00Z</dcterms:created>
  <dcterms:modified xsi:type="dcterms:W3CDTF">2022-02-28T14:45:00Z</dcterms:modified>
</cp:coreProperties>
</file>